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58452938" w14:textId="77777777" w:rsidR="00211B65" w:rsidRDefault="00211B65"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25125DE" w14:textId="77777777" w:rsidR="00211B65" w:rsidRDefault="00211B65" w:rsidP="7FBAA7B2">
      <w:pPr>
        <w:ind w:left="1440"/>
        <w:rPr>
          <w:rFonts w:ascii="Times New Roman" w:eastAsia="Times New Roman" w:hAnsi="Times New Roman" w:cs="Times New Roman"/>
        </w:rPr>
      </w:pPr>
    </w:p>
    <w:p w14:paraId="545C2E1F" w14:textId="77777777" w:rsidR="00211B65" w:rsidRDefault="00211B65" w:rsidP="7FBAA7B2">
      <w:pPr>
        <w:ind w:left="1440"/>
        <w:rPr>
          <w:rFonts w:ascii="Times New Roman" w:eastAsia="Times New Roman" w:hAnsi="Times New Roman" w:cs="Times New Roman"/>
        </w:rPr>
      </w:pPr>
    </w:p>
    <w:p w14:paraId="26EF28DC" w14:textId="77777777" w:rsidR="00211B65" w:rsidRDefault="00211B65" w:rsidP="7FBAA7B2">
      <w:pPr>
        <w:ind w:left="1440"/>
        <w:rPr>
          <w:rFonts w:ascii="Times New Roman" w:eastAsia="Times New Roman" w:hAnsi="Times New Roman" w:cs="Times New Roman"/>
        </w:rPr>
      </w:pPr>
    </w:p>
    <w:p w14:paraId="3E2F8D09" w14:textId="77777777" w:rsidR="00211B65" w:rsidRDefault="00211B65" w:rsidP="7FBAA7B2">
      <w:pPr>
        <w:ind w:left="1440"/>
        <w:rPr>
          <w:rFonts w:ascii="Times New Roman" w:eastAsia="Times New Roman" w:hAnsi="Times New Roman" w:cs="Times New Roman"/>
        </w:rPr>
      </w:pPr>
    </w:p>
    <w:p w14:paraId="2B150D09" w14:textId="77777777" w:rsidR="00211B65" w:rsidRDefault="00211B65" w:rsidP="7FBAA7B2">
      <w:pPr>
        <w:ind w:left="1440"/>
        <w:rPr>
          <w:rFonts w:ascii="Times New Roman" w:eastAsia="Times New Roman" w:hAnsi="Times New Roman" w:cs="Times New Roman"/>
        </w:rPr>
      </w:pPr>
    </w:p>
    <w:p w14:paraId="19A40EC2" w14:textId="7B88E00E" w:rsidR="000F7A9B" w:rsidRPr="00211B65" w:rsidRDefault="00CD56D6" w:rsidP="00211B65">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448430E6" w14:textId="77777777" w:rsidR="00211B65" w:rsidRPr="00211B65" w:rsidRDefault="5D5E0517" w:rsidP="00501AE8">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33C2DA6B" w14:textId="77777777" w:rsidR="00211B65" w:rsidRDefault="00211B65" w:rsidP="00211B65">
      <w:pPr>
        <w:pStyle w:val="ListParagraph"/>
        <w:ind w:left="1440"/>
        <w:rPr>
          <w:rFonts w:ascii="Times New Roman" w:eastAsia="Times New Roman" w:hAnsi="Times New Roman" w:cs="Times New Roman"/>
        </w:rPr>
      </w:pPr>
    </w:p>
    <w:p w14:paraId="23DB7D81" w14:textId="1E54BC27" w:rsidR="00501AE8" w:rsidRPr="00211B65" w:rsidRDefault="00501AE8" w:rsidP="00211B65">
      <w:pPr>
        <w:pStyle w:val="ListParagraph"/>
        <w:ind w:left="1440"/>
        <w:rPr>
          <w:rFonts w:ascii="Times New Roman" w:eastAsia="Times New Roman" w:hAnsi="Times New Roman" w:cs="Times New Roman"/>
          <w:i/>
          <w:iCs/>
        </w:rPr>
      </w:pPr>
      <w:r w:rsidRPr="00211B65">
        <w:rPr>
          <w:rFonts w:ascii="Times New Roman" w:hAnsi="Times New Roman" w:cs="Times New Roman"/>
          <w:color w:val="0F1115"/>
          <w:shd w:val="clear" w:color="auto" w:fill="FFFFFF"/>
        </w:rPr>
        <w:t xml:space="preserve">The stacked bar chart with vibrant gradient </w:t>
      </w:r>
      <w:proofErr w:type="spellStart"/>
      <w:r w:rsidRPr="00211B65">
        <w:rPr>
          <w:rFonts w:ascii="Times New Roman" w:hAnsi="Times New Roman" w:cs="Times New Roman"/>
          <w:color w:val="0F1115"/>
          <w:shd w:val="clear" w:color="auto" w:fill="FFFFFF"/>
        </w:rPr>
        <w:t>colors</w:t>
      </w:r>
      <w:proofErr w:type="spellEnd"/>
      <w:r w:rsidRPr="00211B65">
        <w:rPr>
          <w:rFonts w:ascii="Times New Roman" w:hAnsi="Times New Roman" w:cs="Times New Roman"/>
          <w:color w:val="0F1115"/>
          <w:shd w:val="clear" w:color="auto" w:fill="FFFFFF"/>
        </w:rPr>
        <w:t xml:space="preserve"> was selected to visualize the relationship between population growth status and continent. This visualization effectively displays proportional comparisons while the gradient </w:t>
      </w:r>
      <w:proofErr w:type="spellStart"/>
      <w:r w:rsidRPr="00211B65">
        <w:rPr>
          <w:rFonts w:ascii="Times New Roman" w:hAnsi="Times New Roman" w:cs="Times New Roman"/>
          <w:color w:val="0F1115"/>
          <w:shd w:val="clear" w:color="auto" w:fill="FFFFFF"/>
        </w:rPr>
        <w:t>color</w:t>
      </w:r>
      <w:proofErr w:type="spellEnd"/>
      <w:r w:rsidRPr="00211B65">
        <w:rPr>
          <w:rFonts w:ascii="Times New Roman" w:hAnsi="Times New Roman" w:cs="Times New Roman"/>
          <w:color w:val="0F1115"/>
          <w:shd w:val="clear" w:color="auto" w:fill="FFFFFF"/>
        </w:rPr>
        <w:t xml:space="preserve"> scheme (red to blue) intuitively represents growth intensity levels, making complex demographic patterns immediately accessible for analysis of continental population dynamics.</w:t>
      </w:r>
    </w:p>
    <w:p w14:paraId="643C17CA" w14:textId="77777777" w:rsidR="00501AE8" w:rsidRDefault="00501AE8" w:rsidP="00501AE8">
      <w:pPr>
        <w:rPr>
          <w:rFonts w:ascii="Times New Roman" w:hAnsi="Times New Roman" w:cs="Times New Roman"/>
          <w:color w:val="0F1115"/>
          <w:shd w:val="clear" w:color="auto" w:fill="FFFFFF"/>
        </w:rPr>
      </w:pPr>
    </w:p>
    <w:p w14:paraId="1BEF9272" w14:textId="2117D283" w:rsidR="00501AE8" w:rsidRDefault="00501AE8" w:rsidP="00501AE8">
      <w:pPr>
        <w:rPr>
          <w:rFonts w:ascii="Times New Roman" w:hAnsi="Times New Roman" w:cs="Times New Roman"/>
          <w:color w:val="0F1115"/>
          <w:shd w:val="clear" w:color="auto" w:fill="FFFFFF"/>
        </w:rPr>
      </w:pPr>
      <w:r>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7B4DBFB2" w14:textId="30686C3C" w:rsidR="00501AE8" w:rsidRPr="00501AE8" w:rsidRDefault="00501AE8" w:rsidP="00501AE8">
      <w:pPr>
        <w:rPr>
          <w:rFonts w:ascii="Times New Roman" w:hAnsi="Times New Roman" w:cs="Times New Roman"/>
          <w:color w:val="0F1115"/>
          <w:shd w:val="clear" w:color="auto" w:fill="FFFFFF"/>
        </w:rPr>
      </w:pPr>
      <w:r>
        <w:rPr>
          <w:rStyle w:val="Strong"/>
          <w:rFonts w:ascii="Segoe UI" w:hAnsi="Segoe UI" w:cs="Segoe UI"/>
          <w:color w:val="0F1115"/>
          <w:shd w:val="clear" w:color="auto" w:fill="FFFFFF"/>
        </w:rPr>
        <w:t>Figure 1: Gradient Stacked Bar Chart Showing Growth Hierarchy Across Continents</w:t>
      </w:r>
    </w:p>
    <w:p w14:paraId="43B3FB55" w14:textId="77777777" w:rsidR="00501AE8" w:rsidRDefault="00501AE8" w:rsidP="006120FA">
      <w:pPr>
        <w:pStyle w:val="ListParagraph"/>
        <w:ind w:left="1440"/>
        <w:rPr>
          <w:rFonts w:ascii="Times New Roman" w:hAnsi="Times New Roman" w:cs="Times New Roman"/>
          <w:color w:val="0F1115"/>
          <w:shd w:val="clear" w:color="auto" w:fill="FFFFFF"/>
        </w:rPr>
      </w:pPr>
    </w:p>
    <w:p w14:paraId="08B4DD2D" w14:textId="77777777" w:rsidR="00501AE8" w:rsidRDefault="00501AE8" w:rsidP="006120FA">
      <w:pPr>
        <w:pStyle w:val="ListParagraph"/>
        <w:ind w:left="1440"/>
        <w:rPr>
          <w:rFonts w:ascii="Times New Roman" w:hAnsi="Times New Roman" w:cs="Times New Roman"/>
          <w:color w:val="0F1115"/>
          <w:shd w:val="clear" w:color="auto" w:fill="FFFFFF"/>
        </w:rPr>
      </w:pPr>
    </w:p>
    <w:p w14:paraId="170CE138" w14:textId="77777777" w:rsidR="00501AE8" w:rsidRDefault="00501AE8" w:rsidP="006120FA">
      <w:pPr>
        <w:pStyle w:val="ListParagraph"/>
        <w:ind w:left="1440"/>
        <w:rPr>
          <w:rFonts w:ascii="Times New Roman" w:hAnsi="Times New Roman" w:cs="Times New Roman"/>
          <w:color w:val="0F1115"/>
          <w:shd w:val="clear" w:color="auto" w:fill="FFFFFF"/>
        </w:rPr>
      </w:pPr>
    </w:p>
    <w:p w14:paraId="1047EDA2" w14:textId="76C1AD81" w:rsidR="00501AE8" w:rsidRDefault="00501AE8" w:rsidP="006120FA">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02E96D53" w14:textId="77777777" w:rsidR="00501AE8" w:rsidRDefault="00501AE8" w:rsidP="006120FA">
      <w:pPr>
        <w:pStyle w:val="ListParagraph"/>
        <w:ind w:left="1440"/>
        <w:rPr>
          <w:rFonts w:ascii="Times New Roman" w:hAnsi="Times New Roman" w:cs="Times New Roman"/>
          <w:b/>
          <w:bCs/>
          <w:color w:val="0F1115"/>
          <w:shd w:val="clear" w:color="auto" w:fill="FFFFFF"/>
        </w:rPr>
      </w:pPr>
    </w:p>
    <w:p w14:paraId="21159435" w14:textId="4FDC201A" w:rsidR="00501AE8" w:rsidRDefault="00501AE8" w:rsidP="006120FA">
      <w:pPr>
        <w:pStyle w:val="ListParagraph"/>
        <w:ind w:left="1440"/>
        <w:rPr>
          <w:rFonts w:ascii="Times New Roman" w:hAnsi="Times New Roman" w:cs="Times New Roman"/>
          <w:b/>
          <w:bCs/>
          <w:color w:val="0F1115"/>
          <w:shd w:val="clear" w:color="auto" w:fill="FFFFFF"/>
        </w:rPr>
      </w:pPr>
      <w:r>
        <w:rPr>
          <w:rFonts w:ascii="Times New Roman" w:hAnsi="Times New Roman" w:cs="Times New Roman"/>
          <w:b/>
          <w:bCs/>
          <w:noProof/>
          <w:color w:val="0F1115"/>
          <w:shd w:val="clear" w:color="auto" w:fill="FFFFFF"/>
        </w:rPr>
        <w:lastRenderedPageBreak/>
        <w:drawing>
          <wp:inline distT="0" distB="0" distL="0" distR="0" wp14:anchorId="4AC85625" wp14:editId="03D0383F">
            <wp:extent cx="4667510" cy="1931437"/>
            <wp:effectExtent l="0" t="0" r="0" b="0"/>
            <wp:docPr id="70024390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43904" name="Picture 2"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94915" cy="1942777"/>
                    </a:xfrm>
                    <a:prstGeom prst="rect">
                      <a:avLst/>
                    </a:prstGeom>
                  </pic:spPr>
                </pic:pic>
              </a:graphicData>
            </a:graphic>
          </wp:inline>
        </w:drawing>
      </w:r>
    </w:p>
    <w:p w14:paraId="58074AA7" w14:textId="77777777" w:rsidR="00501AE8" w:rsidRPr="00501AE8" w:rsidRDefault="00501AE8" w:rsidP="006120FA">
      <w:pPr>
        <w:pStyle w:val="ListParagraph"/>
        <w:ind w:left="1440"/>
        <w:rPr>
          <w:rFonts w:ascii="Times New Roman" w:hAnsi="Times New Roman" w:cs="Times New Roman"/>
          <w:b/>
          <w:bCs/>
          <w:color w:val="0F1115"/>
          <w:shd w:val="clear" w:color="auto" w:fill="FFFFFF"/>
        </w:rPr>
      </w:pPr>
    </w:p>
    <w:p w14:paraId="7AFAEC9B" w14:textId="77777777" w:rsidR="006120FA" w:rsidRDefault="006120FA" w:rsidP="006120FA">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6120FA">
      <w:pPr>
        <w:pStyle w:val="ListParagraph"/>
        <w:ind w:left="1440"/>
        <w:rPr>
          <w:rFonts w:ascii="Times New Roman" w:eastAsia="Times New Roman" w:hAnsi="Times New Roman" w:cs="Times New Roman"/>
          <w:i/>
          <w:iCs/>
        </w:rPr>
      </w:pPr>
    </w:p>
    <w:p w14:paraId="26C4CA26" w14:textId="77777777" w:rsidR="00211B65" w:rsidRPr="00211B65" w:rsidRDefault="5D5E0517" w:rsidP="00211B65">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w:t>
      </w:r>
    </w:p>
    <w:p w14:paraId="5D1FBFFE" w14:textId="77777777" w:rsidR="00211B65" w:rsidRDefault="00211B65" w:rsidP="00211B65">
      <w:pPr>
        <w:pStyle w:val="ListParagraph"/>
        <w:ind w:left="1440"/>
        <w:rPr>
          <w:rFonts w:ascii="Times New Roman" w:eastAsia="Times New Roman" w:hAnsi="Times New Roman" w:cs="Times New Roman"/>
        </w:rPr>
      </w:pPr>
    </w:p>
    <w:p w14:paraId="19C92862" w14:textId="77777777" w:rsidR="00211B65" w:rsidRDefault="00211B65" w:rsidP="00211B65">
      <w:pPr>
        <w:pStyle w:val="ListParagraph"/>
        <w:ind w:left="1440"/>
        <w:rPr>
          <w:rFonts w:ascii="Times New Roman" w:eastAsia="Times New Roman" w:hAnsi="Times New Roman" w:cs="Times New Roman"/>
        </w:rPr>
      </w:pPr>
    </w:p>
    <w:p w14:paraId="175AF809" w14:textId="26154A1E" w:rsidR="7FBAA7B2" w:rsidRPr="00211B65" w:rsidRDefault="00501AE8" w:rsidP="00211B65">
      <w:pPr>
        <w:pStyle w:val="ListParagraph"/>
        <w:ind w:left="1440"/>
        <w:rPr>
          <w:rFonts w:ascii="Times New Roman" w:eastAsia="Times New Roman" w:hAnsi="Times New Roman" w:cs="Times New Roman"/>
          <w:i/>
          <w:iCs/>
        </w:rPr>
      </w:pPr>
      <w:r w:rsidRPr="00211B65">
        <w:rPr>
          <w:rFonts w:ascii="Times New Roman" w:eastAsia="Times New Roman" w:hAnsi="Times New Roman" w:cs="Times New Roman"/>
        </w:rPr>
        <w:t xml:space="preserve">The gradient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scheme employs a thermal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progression where red represents very high growth, transitioning through orange, yellow, green, and blue for decreasing growth levels. This visual metaphor immediately communicates growth intensity, with Africa appearing in "hot" red indicating exceptional growth, while Europe appears in "cool" yellow suggesting moderate growth patterns.</w:t>
      </w:r>
    </w:p>
    <w:p w14:paraId="10580A06" w14:textId="77777777" w:rsidR="00501AE8" w:rsidRDefault="00501AE8"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7FBAA7B2">
      <w:pPr>
        <w:ind w:left="1440"/>
        <w:rPr>
          <w:rFonts w:ascii="Times New Roman" w:eastAsia="Times New Roman" w:hAnsi="Times New Roman" w:cs="Times New Roman"/>
        </w:rPr>
      </w:pPr>
    </w:p>
    <w:p w14:paraId="282572A6" w14:textId="3A713098" w:rsidR="5D5E0517" w:rsidRDefault="00211B65" w:rsidP="7FBAA7B2">
      <w:pPr>
        <w:ind w:left="1440"/>
        <w:rPr>
          <w:rFonts w:ascii="Times New Roman" w:eastAsia="Times New Roman" w:hAnsi="Times New Roman" w:cs="Times New Roman"/>
        </w:rPr>
      </w:pPr>
      <w:r w:rsidRPr="00211B65">
        <w:rPr>
          <w:rFonts w:ascii="Times New Roman" w:eastAsia="Times New Roman" w:hAnsi="Times New Roman" w:cs="Times New Roman"/>
        </w:rPr>
        <w:t>Africa demonstrates near-universal population growth (56 of 58 countries), while Europe shows a contrasting pattern with less than half of countries growing. The gradient visualization reveals a clear continental hierarchy: Africa (96.6%) &gt; Asia (80.4%) &gt; Americas (72.2%) &gt; Oceania (63.6%) &gt; Europe (40.4%), suggesting geographical clustering of growth trends.</w:t>
      </w:r>
      <w:r w:rsidR="5D5E0517" w:rsidRPr="7FBAA7B2">
        <w:rPr>
          <w:rFonts w:ascii="Times New Roman" w:eastAsia="Times New Roman" w:hAnsi="Times New Roman" w:cs="Times New Roman"/>
        </w:rPr>
        <w:t xml:space="preserve"> </w:t>
      </w:r>
    </w:p>
    <w:p w14:paraId="5E11D3BF" w14:textId="77777777" w:rsidR="00211B65" w:rsidRDefault="00211B65" w:rsidP="7FBAA7B2">
      <w:pPr>
        <w:ind w:left="1440"/>
        <w:rPr>
          <w:rFonts w:ascii="Times New Roman" w:eastAsia="Times New Roman" w:hAnsi="Times New Roman" w:cs="Times New Roman"/>
        </w:rPr>
      </w:pPr>
    </w:p>
    <w:p w14:paraId="17C48A7D" w14:textId="77777777" w:rsidR="00211B65" w:rsidRDefault="00211B65" w:rsidP="7FBAA7B2">
      <w:pPr>
        <w:ind w:left="1440"/>
        <w:rPr>
          <w:rFonts w:ascii="Times New Roman" w:eastAsia="Times New Roman" w:hAnsi="Times New Roman" w:cs="Times New Roman"/>
        </w:rPr>
      </w:pP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5FAF686A" w14:textId="462731B7" w:rsidR="00DD74D0" w:rsidRDefault="00DD74D0" w:rsidP="00DD74D0">
      <w:pPr>
        <w:pStyle w:val="Caption"/>
        <w:keepNext/>
        <w:ind w:firstLine="720"/>
      </w:pPr>
      <w:r>
        <w:t xml:space="preserve">Table </w:t>
      </w:r>
      <w:fldSimple w:instr=" SEQ Table \* ARABIC ">
        <w:r>
          <w:rPr>
            <w:noProof/>
          </w:rPr>
          <w:t>1</w:t>
        </w:r>
      </w:fldSimple>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Declining</w:t>
            </w:r>
          </w:p>
        </w:tc>
        <w:tc>
          <w:tcPr>
            <w:tcW w:w="2794" w:type="dxa"/>
          </w:tcPr>
          <w:p w14:paraId="4EE35E68" w14:textId="1F14C1B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lastRenderedPageBreak/>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 xml:space="preserve">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w:t>
      </w:r>
      <w:r w:rsidRPr="005A3836">
        <w:rPr>
          <w:rFonts w:ascii="Times New Roman" w:eastAsia="Times New Roman" w:hAnsi="Times New Roman" w:cs="Times New Roman"/>
        </w:rPr>
        <w:lastRenderedPageBreak/>
        <w:t>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3FC734F4"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weekly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644A2E">
      <w:pPr>
        <w:pStyle w:val="ListParagraph"/>
        <w:keepNext/>
        <w:ind w:left="1440"/>
      </w:pPr>
      <w:r>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10">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5090EE20" w:rsidR="00644A2E" w:rsidRDefault="00644A2E" w:rsidP="00644A2E">
      <w:pPr>
        <w:pStyle w:val="Caption"/>
        <w:ind w:left="1440" w:firstLine="720"/>
        <w:rPr>
          <w:rFonts w:ascii="Times New Roman" w:eastAsia="Times New Roman" w:hAnsi="Times New Roman" w:cs="Times New Roman"/>
        </w:rPr>
      </w:pPr>
      <w:r>
        <w:t xml:space="preserve">Figure </w:t>
      </w:r>
      <w:fldSimple w:instr=" SEQ Figure \* ARABIC ">
        <w:r>
          <w:rPr>
            <w:noProof/>
          </w:rPr>
          <w:t>3</w:t>
        </w:r>
      </w:fldSimple>
    </w:p>
    <w:p w14:paraId="646A97E1" w14:textId="77777777" w:rsidR="00502AB1" w:rsidRDefault="00502AB1" w:rsidP="00562067">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4DBB2FCE"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p>
    <w:p w14:paraId="2F84898F" w14:textId="77777777" w:rsidR="008B400C" w:rsidRDefault="008B400C" w:rsidP="00211B65">
      <w:pPr>
        <w:pStyle w:val="ListParagraph"/>
        <w:ind w:left="1440"/>
        <w:rPr>
          <w:rFonts w:ascii="Times New Roman" w:eastAsia="Times New Roman" w:hAnsi="Times New Roman" w:cs="Times New Roman"/>
        </w:rPr>
      </w:pPr>
    </w:p>
    <w:p w14:paraId="1E5B1031" w14:textId="00B15E8A" w:rsidR="00211B65" w:rsidRDefault="008B400C" w:rsidP="00211B65">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 analysis revealed statistically significant geographical disparities in population growth patterns across continents. Africa demonstrated exceptional population growth with 56 out of 58 countries (96.6%) experiencing positive growth, while Europe showed the opposite trend with only 19 of 47 countries (40.4%) growing. The chi-square test of independence yielded χ</w:t>
      </w:r>
      <w:proofErr w:type="gramStart"/>
      <w:r w:rsidRPr="008B400C">
        <w:rPr>
          <w:rFonts w:ascii="Times New Roman" w:eastAsia="Times New Roman" w:hAnsi="Times New Roman" w:cs="Times New Roman"/>
        </w:rPr>
        <w:t>²(</w:t>
      </w:r>
      <w:proofErr w:type="gramEnd"/>
      <w:r w:rsidRPr="008B400C">
        <w:rPr>
          <w:rFonts w:ascii="Times New Roman" w:eastAsia="Times New Roman" w:hAnsi="Times New Roman" w:cs="Times New Roman"/>
        </w:rPr>
        <w:t>4) = 43.873, p &lt; 0.0001, indicating a highly significant relationship between continent and population growth status that rejects the null hypothesis of proportional equality.</w:t>
      </w:r>
    </w:p>
    <w:p w14:paraId="698BFF04" w14:textId="77777777" w:rsidR="008B400C" w:rsidRDefault="008B400C" w:rsidP="00211B65">
      <w:pPr>
        <w:pStyle w:val="ListParagraph"/>
        <w:ind w:left="1440"/>
        <w:rPr>
          <w:rFonts w:ascii="Times New Roman" w:eastAsia="Times New Roman" w:hAnsi="Times New Roman" w:cs="Times New Roman"/>
        </w:rPr>
      </w:pPr>
    </w:p>
    <w:p w14:paraId="76D94CA6" w14:textId="3F563CF8" w:rsidR="5D5E0517" w:rsidRPr="008B400C"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w:t>
      </w:r>
    </w:p>
    <w:p w14:paraId="0A4A75A3" w14:textId="77777777" w:rsidR="008B400C" w:rsidRDefault="008B400C" w:rsidP="008B400C">
      <w:pPr>
        <w:pStyle w:val="ListParagraph"/>
        <w:ind w:left="1440"/>
        <w:rPr>
          <w:rFonts w:ascii="Times New Roman" w:eastAsia="Times New Roman" w:hAnsi="Times New Roman" w:cs="Times New Roman"/>
        </w:rPr>
      </w:pPr>
    </w:p>
    <w:p w14:paraId="527A1220" w14:textId="42030361"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These findings demonstrate that population growth is not randomly distributed but follows distinct continental patterns, with Africa and Asia experiencing widespread demographic expansion while Europe faces systematic population decline. The statistically significant association (p &lt; 0.0001) suggests underlying structural factors—potentially including fertility rates, economic development stages, migration patterns, and regional policy frameworks—operate at continental scales. This has profound implications for global resource allocation, economic planning, sustainable development strategies, and region-specific demographic policies addressing these divergent growth trajectories.</w:t>
      </w:r>
    </w:p>
    <w:p w14:paraId="1102BEAE" w14:textId="77777777" w:rsidR="008B400C" w:rsidRPr="008B400C" w:rsidRDefault="008B400C" w:rsidP="008B400C">
      <w:pPr>
        <w:rPr>
          <w:rFonts w:ascii="Times New Roman" w:eastAsia="Times New Roman" w:hAnsi="Times New Roman" w:cs="Times New Roman"/>
          <w:b/>
          <w:bCs/>
        </w:rPr>
      </w:pPr>
    </w:p>
    <w:p w14:paraId="1D7F80F0" w14:textId="77777777" w:rsidR="008B400C" w:rsidRDefault="5D5E0517" w:rsidP="008B400C">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8B400C">
      <w:pPr>
        <w:pStyle w:val="ListParagraph"/>
        <w:ind w:left="1440"/>
        <w:rPr>
          <w:rFonts w:ascii="Times New Roman" w:eastAsia="Times New Roman" w:hAnsi="Times New Roman" w:cs="Times New Roman"/>
        </w:rPr>
      </w:pPr>
    </w:p>
    <w:p w14:paraId="0CDD4037" w14:textId="3F823DFF"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Limitations include binary growth classification and potential data currency issues. Future research should incorporate temporal analysis, examine sub-continental regions, and integrate socioeconomic indicators to create comprehensive demographic models. Additionally, investigating specific drivers—such as fertility rates, migration patterns, and urbanization trends—could better explain continental growth disparities and inform targeted policy interventions for sustainable population management across differing demographic regimes.</w:t>
      </w:r>
    </w:p>
    <w:p w14:paraId="167DAF0A" w14:textId="77777777" w:rsidR="008B400C" w:rsidRDefault="008B400C" w:rsidP="008B400C">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lastRenderedPageBreak/>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10419" w14:textId="77777777" w:rsidR="00950D05" w:rsidRDefault="00950D05" w:rsidP="000F7A9B">
      <w:r>
        <w:separator/>
      </w:r>
    </w:p>
  </w:endnote>
  <w:endnote w:type="continuationSeparator" w:id="0">
    <w:p w14:paraId="654E1251" w14:textId="77777777" w:rsidR="00950D05" w:rsidRDefault="00950D05" w:rsidP="000F7A9B">
      <w:r>
        <w:continuationSeparator/>
      </w:r>
    </w:p>
  </w:endnote>
  <w:endnote w:type="continuationNotice" w:id="1">
    <w:p w14:paraId="4845BFB9" w14:textId="77777777" w:rsidR="00950D05" w:rsidRDefault="00950D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AEF93" w14:textId="77777777" w:rsidR="00950D05" w:rsidRDefault="00950D05" w:rsidP="000F7A9B">
      <w:r>
        <w:separator/>
      </w:r>
    </w:p>
  </w:footnote>
  <w:footnote w:type="continuationSeparator" w:id="0">
    <w:p w14:paraId="4D44EBE8" w14:textId="77777777" w:rsidR="00950D05" w:rsidRDefault="00950D05" w:rsidP="000F7A9B">
      <w:r>
        <w:continuationSeparator/>
      </w:r>
    </w:p>
  </w:footnote>
  <w:footnote w:type="continuationNotice" w:id="1">
    <w:p w14:paraId="70224C46" w14:textId="77777777" w:rsidR="00950D05" w:rsidRDefault="00950D0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11B65"/>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20FA"/>
    <w:rsid w:val="00616AD0"/>
    <w:rsid w:val="00637EB8"/>
    <w:rsid w:val="00644A2E"/>
    <w:rsid w:val="006911B0"/>
    <w:rsid w:val="00695C53"/>
    <w:rsid w:val="006C6054"/>
    <w:rsid w:val="006E14BD"/>
    <w:rsid w:val="00702B37"/>
    <w:rsid w:val="007509E4"/>
    <w:rsid w:val="007749BF"/>
    <w:rsid w:val="00785E70"/>
    <w:rsid w:val="007919F5"/>
    <w:rsid w:val="007A26FE"/>
    <w:rsid w:val="007B22ED"/>
    <w:rsid w:val="007E5960"/>
    <w:rsid w:val="008045F2"/>
    <w:rsid w:val="00832AD1"/>
    <w:rsid w:val="0084182B"/>
    <w:rsid w:val="0084254D"/>
    <w:rsid w:val="00846C6A"/>
    <w:rsid w:val="008662ED"/>
    <w:rsid w:val="00872AB7"/>
    <w:rsid w:val="00882D92"/>
    <w:rsid w:val="00891AA7"/>
    <w:rsid w:val="008938DA"/>
    <w:rsid w:val="00893DDB"/>
    <w:rsid w:val="008B400C"/>
    <w:rsid w:val="008B6212"/>
    <w:rsid w:val="008C1BCD"/>
    <w:rsid w:val="008E2DF2"/>
    <w:rsid w:val="008F1957"/>
    <w:rsid w:val="00902747"/>
    <w:rsid w:val="00916B8B"/>
    <w:rsid w:val="009279F0"/>
    <w:rsid w:val="00950D05"/>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0A7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10</Pages>
  <Words>2409</Words>
  <Characters>13734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Zisan Ahmed</cp:lastModifiedBy>
  <cp:revision>31</cp:revision>
  <dcterms:created xsi:type="dcterms:W3CDTF">2025-10-31T11:57:00Z</dcterms:created>
  <dcterms:modified xsi:type="dcterms:W3CDTF">2025-12-11T01:45:00Z</dcterms:modified>
</cp:coreProperties>
</file>