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Mangal" w:cs="Mangal" w:eastAsia="Calibri" w:hAnsi="Mangal"/>
          <w:sz w:val="21"/>
          <w:szCs w:val="21"/>
        </w:rPr>
        <w:t xml:space="preserve">जी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 </w:t>
      </w:r>
      <w:r>
        <w:rPr>
          <w:rFonts w:ascii="Mangal" w:cs="Mangal" w:eastAsia="Calibri" w:hAnsi="Mangal"/>
          <w:sz w:val="21"/>
          <w:szCs w:val="21"/>
        </w:rPr>
        <w:t xml:space="preserve">एंड एस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आर</w:t>
      </w:r>
      <w:r>
        <w:rPr>
          <w:rFonts w:ascii="Times New Roman" w:cs="Times New Roman" w:eastAsia="Calibri" w:hAnsi="Times New Roman"/>
          <w:sz w:val="24"/>
          <w:szCs w:val="24"/>
        </w:rPr>
        <w:t xml:space="preserve">. 4.65</w:t>
      </w:r>
    </w:p>
    <w:p>
      <w:r>
        <w:rPr>
          <w:rFonts w:ascii="Mangal" w:cs="Mangal" w:eastAsia="Calibri" w:hAnsi="Mangal"/>
          <w:sz w:val="21"/>
          <w:szCs w:val="21"/>
        </w:rPr>
        <w:t xml:space="preserve">जी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आर</w:t>
      </w:r>
      <w:r>
        <w:rPr>
          <w:rFonts w:ascii="Times New Roman" w:cs="Times New Roman" w:eastAsia="Calibri" w:hAnsi="Times New Roman"/>
          <w:sz w:val="24"/>
          <w:szCs w:val="24"/>
        </w:rPr>
        <w:t xml:space="preserve">. 5.23</w:t>
      </w:r>
    </w:p>
    <w:p>
      <w:r>
        <w:rPr>
          <w:rFonts w:ascii="Mangal" w:cs="Mangal" w:eastAsia="Calibri" w:hAnsi="Mangal"/>
          <w:sz w:val="21"/>
          <w:szCs w:val="21"/>
        </w:rPr>
        <w:t xml:space="preserve">एस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आर</w:t>
      </w:r>
      <w:r>
        <w:rPr>
          <w:rFonts w:ascii="Times New Roman" w:cs="Times New Roman" w:eastAsia="Calibri" w:hAnsi="Times New Roman"/>
          <w:sz w:val="24"/>
          <w:szCs w:val="24"/>
        </w:rPr>
        <w:t xml:space="preserve">. 5.19(5)(a)</w:t>
      </w:r>
    </w:p>
    <w:p>
      <w:r>
        <w:rPr>
          <w:rFonts w:ascii="Mangal" w:cs="Mangal" w:eastAsia="Calibri" w:hAnsi="Mangal"/>
          <w:sz w:val="21"/>
          <w:szCs w:val="21"/>
        </w:rPr>
        <w:t xml:space="preserve">टी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/369</w:t>
      </w:r>
    </w:p>
    <w:p>
      <w:r>
        <w:rPr>
          <w:rFonts w:ascii="Mangal" w:cs="Mangal" w:eastAsia="Calibri" w:hAnsi="Mangal"/>
          <w:sz w:val="21"/>
          <w:szCs w:val="21"/>
        </w:rPr>
        <w:t xml:space="preserve">सिग्नल</w:t>
      </w:r>
      <w:r>
        <w:rPr>
          <w:rFonts w:ascii="Times New Roman" w:cs="Times New Roman" w:eastAsia="Calibri" w:hAnsi="Times New Roman"/>
          <w:sz w:val="24"/>
          <w:szCs w:val="24"/>
        </w:rPr>
        <w:t xml:space="preserve">, </w:t>
      </w:r>
      <w:r>
        <w:rPr>
          <w:rFonts w:ascii="Mangal" w:cs="Mangal" w:eastAsia="Calibri" w:hAnsi="Mangal"/>
          <w:sz w:val="21"/>
          <w:szCs w:val="21"/>
        </w:rPr>
        <w:t xml:space="preserve">पॉइंट आदि।</w:t>
      </w:r>
    </w:p>
    <w:p>
      <w:r>
        <w:rPr>
          <w:rFonts w:ascii="Mangal" w:cs="Mangal" w:eastAsia="Calibri" w:hAnsi="Mangal"/>
          <w:sz w:val="21"/>
          <w:szCs w:val="21"/>
        </w:rPr>
        <w:t xml:space="preserve">अन्य उपकरण आदि</w:t>
      </w:r>
    </w:p>
    <w:p>
      <w:r>
        <w:rPr>
          <w:rFonts w:ascii="Mangal" w:cs="Mangal" w:eastAsia="Calibri" w:hAnsi="Mangal"/>
          <w:sz w:val="21"/>
          <w:szCs w:val="21"/>
        </w:rPr>
        <w:t xml:space="preserve">अध्याय</w:t>
      </w:r>
      <w:r>
        <w:rPr>
          <w:rFonts w:ascii="Times New Roman" w:cs="Times New Roman" w:eastAsia="Calibri" w:hAnsi="Times New Roman"/>
          <w:sz w:val="24"/>
          <w:szCs w:val="24"/>
        </w:rPr>
        <w:t xml:space="preserve"> VI </w:t>
      </w:r>
      <w:r>
        <w:rPr>
          <w:rFonts w:ascii="Mangal" w:cs="Mangal" w:eastAsia="Calibri" w:hAnsi="Mangal"/>
          <w:sz w:val="21"/>
          <w:szCs w:val="21"/>
        </w:rPr>
        <w:t xml:space="preserve">पैरा</w:t>
      </w:r>
      <w:r>
        <w:rPr>
          <w:rFonts w:ascii="Times New Roman" w:cs="Times New Roman" w:eastAsia="Calibri" w:hAnsi="Times New Roman"/>
          <w:sz w:val="24"/>
          <w:szCs w:val="24"/>
        </w:rPr>
        <w:t xml:space="preserve"> 6.02(iv)</w:t>
      </w:r>
    </w:p>
    <w:p>
      <w:r>
        <w:rPr>
          <w:rFonts w:ascii="Mangal" w:cs="Mangal" w:eastAsia="Calibri" w:hAnsi="Mangal"/>
          <w:sz w:val="21"/>
          <w:szCs w:val="21"/>
        </w:rPr>
        <w:t xml:space="preserve">टी</w:t>
      </w:r>
    </w:p>
    <w:p>
      <w:r>
        <w:rPr>
          <w:rFonts w:ascii="Mangal" w:cs="Mangal" w:eastAsia="Calibri" w:hAnsi="Mangal"/>
          <w:sz w:val="21"/>
          <w:szCs w:val="21"/>
        </w:rPr>
        <w:t xml:space="preserve">जी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505</w:t>
      </w:r>
      <w:r>
        <w:rPr>
          <w:rFonts w:ascii="Mangal" w:cs="Mangal" w:eastAsia="Calibri" w:hAnsi="Mangal"/>
          <w:sz w:val="21"/>
          <w:szCs w:val="21"/>
        </w:rPr>
        <w:t xml:space="preserve">ए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एक्स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टी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505</w:t>
      </w:r>
      <w:r>
        <w:rPr>
          <w:rFonts w:ascii="Mangal" w:cs="Mangal" w:eastAsia="Calibri" w:hAnsi="Mangal"/>
          <w:sz w:val="21"/>
          <w:szCs w:val="21"/>
        </w:rPr>
        <w:t xml:space="preserve">बी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एक्स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टी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p>
      <w:r>
        <w:rPr>
          <w:rFonts w:ascii="Mangal" w:cs="Mangal" w:eastAsia="Calibri" w:hAnsi="Mangal"/>
          <w:sz w:val="21"/>
          <w:szCs w:val="21"/>
        </w:rPr>
        <w:t xml:space="preserve">डी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पी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.519</w:t>
      </w:r>
      <w:r>
        <w:rPr>
          <w:rFonts w:ascii="Mangal" w:cs="Mangal" w:eastAsia="Calibri" w:hAnsi="Mangal"/>
          <w:sz w:val="21"/>
          <w:szCs w:val="21"/>
        </w:rPr>
        <w:t xml:space="preserve">ए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p>
      <w:r>
        <w:rPr>
          <w:rFonts w:ascii="Mangal" w:cs="Mangal" w:eastAsia="Calibri" w:hAnsi="Mangal"/>
          <w:sz w:val="21"/>
          <w:szCs w:val="21"/>
        </w:rPr>
        <w:t xml:space="preserve">एस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आर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p>
      <w:r>
        <w:rPr>
          <w:rFonts w:ascii="Mangal" w:cs="Mangal" w:eastAsia="Calibri" w:hAnsi="Mangal"/>
          <w:sz w:val="21"/>
          <w:szCs w:val="21"/>
        </w:rPr>
        <w:t xml:space="preserve">जी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आर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p>
      <w:r>
        <w:rPr>
          <w:rFonts w:ascii="Mangal" w:cs="Mangal" w:eastAsia="Calibri" w:hAnsi="Mangal"/>
          <w:sz w:val="21"/>
          <w:szCs w:val="21"/>
        </w:rPr>
        <w:t xml:space="preserve">जी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. </w:t>
      </w:r>
      <w:r>
        <w:rPr>
          <w:rFonts w:ascii="Mangal" w:cs="Mangal" w:eastAsia="Calibri" w:hAnsi="Mangal"/>
          <w:sz w:val="21"/>
          <w:szCs w:val="21"/>
        </w:rPr>
        <w:t xml:space="preserve">एंड एस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  <w:r>
        <w:rPr>
          <w:rFonts w:ascii="Mangal" w:cs="Mangal" w:eastAsia="Calibri" w:hAnsi="Mangal"/>
          <w:sz w:val="21"/>
          <w:szCs w:val="21"/>
        </w:rPr>
        <w:t xml:space="preserve">आर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p>
      <w:r>
        <w:rPr>
          <w:rFonts w:ascii="Mangal" w:cs="Mangal" w:eastAsia="Calibri" w:hAnsi="Mangal"/>
          <w:sz w:val="21"/>
          <w:szCs w:val="21"/>
        </w:rPr>
        <w:t xml:space="preserve">आदि</w:t>
      </w:r>
    </w:p>
    <w:p>
      <w:r>
        <w:rPr>
          <w:rFonts w:ascii="Mangal" w:cs="Mangal" w:eastAsia="Calibri" w:hAnsi="Mangal"/>
          <w:sz w:val="21"/>
          <w:szCs w:val="21"/>
        </w:rPr>
        <w:t xml:space="preserve">आदि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(</w:t>
      </w:r>
      <w:r>
        <w:rPr>
          <w:rFonts w:ascii="Mangal" w:cs="Mangal" w:eastAsia="Calibri" w:hAnsi="Mangal"/>
          <w:sz w:val="21"/>
          <w:szCs w:val="21"/>
        </w:rPr>
        <w:t xml:space="preserve">ए</w:t>
      </w:r>
      <w:r>
        <w:rPr>
          <w:rFonts w:ascii="Times New Roman" w:cs="Times New Roman" w:eastAsia="Calibri" w:hAnsi="Times New Roman"/>
          <w:sz w:val="24"/>
          <w:szCs w:val="24"/>
        </w:rPr>
        <w:t xml:space="preserve">) </w:t>
      </w:r>
      <w:r>
        <w:rPr>
          <w:rFonts w:ascii="Mangal" w:cs="Mangal" w:eastAsia="Calibri" w:hAnsi="Mangal"/>
          <w:sz w:val="21"/>
          <w:szCs w:val="21"/>
        </w:rPr>
        <w:t xml:space="preserve">पहला नियम निर्देश।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(</w:t>
      </w:r>
      <w:r>
        <w:rPr>
          <w:rFonts w:ascii="Mangal" w:cs="Mangal" w:eastAsia="Calibri" w:hAnsi="Mangal"/>
          <w:sz w:val="21"/>
          <w:szCs w:val="21"/>
        </w:rPr>
        <w:t xml:space="preserve">बी</w:t>
      </w:r>
      <w:r>
        <w:rPr>
          <w:rFonts w:ascii="Times New Roman" w:cs="Times New Roman" w:eastAsia="Calibri" w:hAnsi="Times New Roman"/>
          <w:sz w:val="24"/>
          <w:szCs w:val="24"/>
        </w:rPr>
        <w:t xml:space="preserve">) </w:t>
      </w:r>
      <w:r>
        <w:rPr>
          <w:rFonts w:ascii="Mangal" w:cs="Mangal" w:eastAsia="Calibri" w:hAnsi="Mangal"/>
          <w:sz w:val="21"/>
          <w:szCs w:val="21"/>
        </w:rPr>
        <w:t xml:space="preserve">दूसरा नियम निर्देश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(i) </w:t>
      </w:r>
      <w:r>
        <w:rPr>
          <w:rFonts w:ascii="Mangal" w:cs="Mangal" w:eastAsia="Calibri" w:hAnsi="Mangal"/>
          <w:sz w:val="21"/>
          <w:szCs w:val="21"/>
        </w:rPr>
        <w:t xml:space="preserve">रोमन नियम मद</w:t>
      </w:r>
      <w:r>
        <w:rPr>
          <w:rFonts w:ascii="Times New Roman" w:cs="Times New Roman" w:eastAsia="Calibri" w:hAnsi="Times New Roman"/>
          <w:sz w:val="24"/>
          <w:szCs w:val="24"/>
        </w:rPr>
        <w:t xml:space="preserve">.</w:t>
      </w:r>
    </w:p>
    <w:sectPr>
      <w:pgSz w:w="11906" w:h="16838" w:orient="portrait"/>
      <w:pgMar w:top="720" w:right="800" w:bottom="72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2026-10-17T13:29:11.354Z</dcterms:created>
  <dcterms:modified xsi:type="dcterms:W3CDTF">2026-10-17T13:29:11.354Z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