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sz w:val="24"/>
          <w:szCs w:val="24"/>
        </w:rPr>
        <w:t xml:space="preserve">डी.एस.टी.ई.</w:t>
      </w:r>
    </w:p>
    <w:p>
      <w:r>
        <w:rPr>
          <w:rFonts w:ascii="Calibri" w:cs="Calibri" w:eastAsia="Calibri" w:hAnsi="Calibri"/>
          <w:sz w:val="24"/>
          <w:szCs w:val="24"/>
        </w:rPr>
        <w:t xml:space="preserve">एम.एस.डी.ए.सी.</w:t>
      </w:r>
    </w:p>
    <w:p>
      <w:r>
        <w:rPr>
          <w:rFonts w:ascii="Calibri" w:cs="Calibri" w:eastAsia="Calibri" w:hAnsi="Calibri"/>
          <w:sz w:val="24"/>
          <w:szCs w:val="24"/>
        </w:rPr>
        <w:t xml:space="preserve">एच.ए.एस.एस.डी.ए.सी.</w:t>
      </w:r>
    </w:p>
    <w:p>
      <w:r>
        <w:rPr>
          <w:rFonts w:ascii="Calibri" w:cs="Calibri" w:eastAsia="Calibri" w:hAnsi="Calibri"/>
          <w:sz w:val="24"/>
          <w:szCs w:val="24"/>
        </w:rPr>
        <w:t xml:space="preserve">सी.एस.टी.ई.</w:t>
      </w:r>
    </w:p>
    <w:p>
      <w:r>
        <w:rPr>
          <w:rFonts w:ascii="Calibri" w:cs="Calibri" w:eastAsia="Calibri" w:hAnsi="Calibri"/>
          <w:sz w:val="24"/>
          <w:szCs w:val="24"/>
        </w:rPr>
        <w:t xml:space="preserve">जी.आर.</w:t>
      </w:r>
    </w:p>
    <w:p>
      <w:r>
        <w:rPr>
          <w:rFonts w:ascii="Calibri" w:cs="Calibri" w:eastAsia="Calibri" w:hAnsi="Calibri"/>
          <w:sz w:val="24"/>
          <w:szCs w:val="24"/>
        </w:rPr>
        <w:t xml:space="preserve">एस.आर.</w:t>
      </w:r>
    </w:p>
    <w:p>
      <w:r>
        <w:rPr>
          <w:rFonts w:ascii="Calibri" w:cs="Calibri" w:eastAsia="Calibri" w:hAnsi="Calibri"/>
          <w:sz w:val="24"/>
          <w:szCs w:val="24"/>
        </w:rPr>
        <w:t xml:space="preserve">ई.सी.आर.</w:t>
      </w:r>
    </w:p>
    <w:p>
      <w:r>
        <w:rPr>
          <w:rFonts w:ascii="Calibri" w:cs="Calibri" w:eastAsia="Calibri" w:hAnsi="Calibri"/>
          <w:sz w:val="24"/>
          <w:szCs w:val="24"/>
        </w:rPr>
        <w:t xml:space="preserve">एस.आई.पी.</w:t>
      </w:r>
    </w:p>
    <w:p>
      <w:r>
        <w:rPr>
          <w:rFonts w:ascii="Calibri" w:cs="Calibri" w:eastAsia="Calibri" w:hAnsi="Calibri"/>
          <w:sz w:val="24"/>
          <w:szCs w:val="24"/>
        </w:rPr>
        <w:t xml:space="preserve">डी.एन.आर.</w:t>
      </w:r>
    </w:p>
    <w:p>
      <w:r>
        <w:rPr>
          <w:rFonts w:ascii="Calibri" w:cs="Calibri" w:eastAsia="Calibri" w:hAnsi="Calibri"/>
          <w:sz w:val="24"/>
          <w:szCs w:val="24"/>
        </w:rPr>
        <w:t xml:space="preserve">वी.डी.यू.</w:t>
      </w:r>
    </w:p>
    <w:p>
      <w:r>
        <w:rPr>
          <w:rFonts w:ascii="Calibri" w:cs="Calibri" w:eastAsia="Calibri" w:hAnsi="Calibri"/>
          <w:sz w:val="24"/>
          <w:szCs w:val="24"/>
        </w:rPr>
        <w:t xml:space="preserve">दिनांक 12.09.2025 को पैरा 6.02(iv) तथा संदर्भ 117/2025 के अनुसार।</w:t>
      </w:r>
    </w:p>
    <w:p>
      <w:r>
        <w:rPr>
          <w:rFonts w:ascii="Calibri" w:cs="Calibri" w:eastAsia="Calibri" w:hAnsi="Calibri"/>
          <w:sz w:val="24"/>
          <w:szCs w:val="24"/>
        </w:rPr>
        <w:t xml:space="preserve">प्रक्रिया क्रमिक त्रुटी ग्रुप संयुक्त विद्या स्त्री</w:t>
      </w:r>
    </w:p>
    <w:p>
      <w:r>
        <w:rPr>
          <w:rFonts w:ascii="Calibri" w:cs="Calibri" w:eastAsia="Calibri" w:hAnsi="Calibri"/>
          <w:sz w:val="24"/>
          <w:szCs w:val="24"/>
        </w:rPr>
        <w:t xml:space="preserve">चिह्न: . .. ... / : ; - :- ( ) [ ] &amp; % @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2026-10-14T14:23:55.495Z</dcterms:created>
  <dcterms:modified xsi:type="dcterms:W3CDTF">2026-10-14T14:23:55.496Z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