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2.5 RUNNING LINES</w:t>
      </w:r>
    </w:p>
    <w:p>
      <w:pPr>
        <w:jc w:val="left"/>
      </w:pPr>
      <w:r>
        <w:rPr>
          <w:sz w:val="24"/>
          <w:szCs w:val="24"/>
        </w:rPr>
        <w:t xml:space="preserve">(i) UP Main Line (Line No. 2)</w:t>
      </w:r>
    </w:p>
    <w:p>
      <w:pPr>
        <w:jc w:val="left"/>
      </w:pPr>
      <w:r>
        <w:rPr>
          <w:sz w:val="24"/>
          <w:szCs w:val="24"/>
        </w:rPr>
        <w:t xml:space="preserve">(ii) UP Loop Line (Line No. 1)</w:t>
      </w:r>
    </w:p>
    <w:p>
      <w:pPr>
        <w:jc w:val="left"/>
      </w:pPr>
      <w:r>
        <w:rPr>
          <w:sz w:val="24"/>
          <w:szCs w:val="24"/>
        </w:rPr>
        <w:t xml:space="preserve">(iii) DN Main Line (Line No. 3)</w:t>
      </w:r>
    </w:p>
    <w:p>
      <w:pPr>
        <w:jc w:val="left"/>
      </w:pPr>
      <w:r>
        <w:rPr>
          <w:sz w:val="24"/>
          <w:szCs w:val="24"/>
        </w:rPr>
        <w:t xml:space="preserve">(iv) DN Loop Line (Line No. 4)</w:t>
      </w:r>
    </w:p>
    <w:p>
      <w:pPr>
        <w:jc w:val="left"/>
      </w:pPr>
      <w:r>
        <w:rPr>
          <w:b/>
          <w:bCs/>
          <w:sz w:val="24"/>
          <w:szCs w:val="24"/>
        </w:rPr>
        <w:t xml:space="preserve">Technical abbreviations:</w:t>
      </w:r>
    </w:p>
    <w:p>
      <w:pPr>
        <w:jc w:val="left"/>
      </w:pPr>
      <w:r>
        <w:rPr>
          <w:sz w:val="24"/>
          <w:szCs w:val="24"/>
        </w:rPr>
        <w:t xml:space="preserve">DLI, MNP, DSTE, VDU, ELB, EKT, GWR, TVU.</w:t>
      </w:r>
    </w:p>
    <w:p>
      <w:pPr>
        <w:jc w:val="left"/>
      </w:pPr>
      <w:r>
        <w:rPr>
          <w:sz w:val="24"/>
          <w:szCs w:val="24"/>
        </w:rPr>
        <w:t xml:space="preserve">MSDAC, KEU, SI-24, AXT, BXT, VDO.</w:t>
      </w:r>
    </w:p>
    <w:p>
      <w:pPr>
        <w:jc w:val="left"/>
      </w:pPr>
      <w:r>
        <w:rPr>
          <w:sz w:val="24"/>
          <w:szCs w:val="24"/>
        </w:rPr>
        <w:t xml:space="preserve">Block Station Building with Gradient 1 in 400 and Distance 800.00m on Section.</w:t>
      </w:r>
    </w:p>
    <w:p>
      <w:pPr>
        <w:jc w:val="right"/>
      </w:pPr>
      <w:r>
        <w:rPr>
          <w:i/>
          <w:iCs/>
          <w:sz w:val="22"/>
          <w:szCs w:val="22"/>
        </w:rPr>
        <w:t xml:space="preserve">Date: 22.07.2026, Section Ref: 117/2025</w:t>
      </w:r>
    </w:p>
    <w:p>
      <w:pPr>
        <w:jc w:val="both"/>
      </w:pPr>
      <w:r>
        <w:rPr>
          <w:sz w:val="24"/>
          <w:szCs w:val="24"/>
          <w:u w:val="single"/>
        </w:rPr>
        <w:t xml:space="preserve">Point Machine DP519A detected normal and Track circuit clear before giving Line Clear.</w:t>
      </w:r>
    </w:p>
    <w:p>
      <w:pPr>
        <w:ind w:left="720"/>
        <w:jc w:val="left"/>
      </w:pPr>
      <w:r>
        <w:rPr>
          <w:sz w:val="24"/>
          <w:szCs w:val="24"/>
        </w:rPr>
        <w:t xml:space="preserve">(a) First condition (b) Second condition: Chapter VI para 6.02(iv)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Normal / Clear</w:t>
            </w:r>
          </w:p>
        </w:tc>
      </w:tr>
      <w:tr>
        <w:tc>
          <w:tcPr>
            <w:tcW w:type="dxa" w:w="4500"/>
          </w:tcPr>
          <w:p>
            <w:r>
              <w:t xml:space="preserve">DLI</w:t>
            </w:r>
          </w:p>
        </w:tc>
        <w:tc>
          <w:tcPr>
            <w:tcW w:type="dxa" w:w="4500"/>
          </w:tcPr>
          <w:p>
            <w:r>
              <w:t xml:space="preserve">Point Machine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2026-10-13T22:51:43.419Z</dcterms:created>
  <dcterms:modified xsi:type="dcterms:W3CDTF">2026-10-13T22:51:43.420Z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