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angal" w:cs="Mangal" w:eastAsia="Calibri" w:hAnsi="Mangal"/>
          <w:sz w:val="24"/>
          <w:szCs w:val="24"/>
        </w:rPr>
        <w:t xml:space="preserve">जी. एंड एस.आर.</w:t>
      </w:r>
      <w:r>
        <w:rPr>
          <w:rFonts w:ascii="Times New Roman" w:cs="Times New Roman" w:eastAsia="Calibri" w:hAnsi="Times New Roman"/>
          <w:sz w:val="24"/>
          <w:szCs w:val="24"/>
        </w:rPr>
        <w:t xml:space="preserve"> 4.65</w:t>
      </w:r>
    </w:p>
    <w:p>
      <w:r>
        <w:rPr>
          <w:rFonts w:ascii="Mangal" w:cs="Mangal" w:eastAsia="Calibri" w:hAnsi="Mangal"/>
          <w:sz w:val="24"/>
          <w:szCs w:val="24"/>
        </w:rPr>
        <w:t xml:space="preserve">जी.आर.</w:t>
      </w:r>
      <w:r>
        <w:rPr>
          <w:rFonts w:ascii="Times New Roman" w:cs="Times New Roman" w:eastAsia="Calibri" w:hAnsi="Times New Roman"/>
          <w:sz w:val="24"/>
          <w:szCs w:val="24"/>
        </w:rPr>
        <w:t xml:space="preserve"> 5.23</w:t>
      </w:r>
    </w:p>
    <w:p>
      <w:r>
        <w:rPr>
          <w:rFonts w:ascii="Mangal" w:cs="Mangal" w:eastAsia="Calibri" w:hAnsi="Mangal"/>
          <w:sz w:val="24"/>
          <w:szCs w:val="24"/>
        </w:rPr>
        <w:t xml:space="preserve">एस.आर.</w:t>
      </w:r>
      <w:r>
        <w:rPr>
          <w:rFonts w:ascii="Times New Roman" w:cs="Times New Roman" w:eastAsia="Calibri" w:hAnsi="Times New Roman"/>
          <w:sz w:val="24"/>
          <w:szCs w:val="24"/>
        </w:rPr>
        <w:t xml:space="preserve"> 5.19(5)(a)</w:t>
      </w:r>
    </w:p>
    <w:p>
      <w:r>
        <w:rPr>
          <w:rFonts w:ascii="Mangal" w:cs="Mangal" w:eastAsia="Calibri" w:hAnsi="Mangal"/>
          <w:sz w:val="24"/>
          <w:szCs w:val="24"/>
        </w:rPr>
        <w:t xml:space="preserve">टी</w:t>
      </w:r>
      <w:r>
        <w:rPr>
          <w:rFonts w:ascii="Times New Roman" w:cs="Times New Roman" w:eastAsia="Calibri" w:hAnsi="Times New Roman"/>
          <w:sz w:val="24"/>
          <w:szCs w:val="24"/>
        </w:rPr>
        <w:t xml:space="preserve">/369</w:t>
      </w:r>
    </w:p>
    <w:p>
      <w:r>
        <w:rPr>
          <w:rFonts w:ascii="Mangal" w:cs="Mangal" w:eastAsia="Calibri" w:hAnsi="Mangal"/>
          <w:sz w:val="24"/>
          <w:szCs w:val="24"/>
        </w:rPr>
        <w:t xml:space="preserve">सिग्नल</w:t>
      </w:r>
      <w:r>
        <w:rPr>
          <w:rFonts w:ascii="Times New Roman" w:cs="Times New Roman" w:eastAsia="Calibri" w:hAnsi="Times New Roman"/>
          <w:sz w:val="24"/>
          <w:szCs w:val="24"/>
        </w:rPr>
        <w:t xml:space="preserve">, </w:t>
      </w:r>
      <w:r>
        <w:rPr>
          <w:rFonts w:ascii="Mangal" w:cs="Mangal" w:eastAsia="Calibri" w:hAnsi="Mangal"/>
          <w:sz w:val="24"/>
          <w:szCs w:val="24"/>
        </w:rPr>
        <w:t xml:space="preserve">पॉइंट आदि।</w:t>
      </w:r>
    </w:p>
    <w:p>
      <w:r>
        <w:rPr>
          <w:rFonts w:ascii="Mangal" w:cs="Mangal" w:eastAsia="Calibri" w:hAnsi="Mangal"/>
          <w:sz w:val="24"/>
          <w:szCs w:val="24"/>
        </w:rPr>
        <w:t xml:space="preserve">अन्य उपकरण आदि</w:t>
      </w:r>
    </w:p>
    <w:p>
      <w:r>
        <w:rPr>
          <w:rFonts w:ascii="Mangal" w:cs="Mangal" w:eastAsia="Calibri" w:hAnsi="Mangal"/>
          <w:sz w:val="24"/>
          <w:szCs w:val="24"/>
        </w:rPr>
        <w:t xml:space="preserve">अध्याय</w:t>
      </w:r>
      <w:r>
        <w:rPr>
          <w:rFonts w:ascii="Times New Roman" w:cs="Times New Roman" w:eastAsia="Calibri" w:hAnsi="Times New Roman"/>
          <w:sz w:val="24"/>
          <w:szCs w:val="24"/>
        </w:rPr>
        <w:t xml:space="preserve"> VI </w:t>
      </w:r>
      <w:r>
        <w:rPr>
          <w:rFonts w:ascii="Mangal" w:cs="Mangal" w:eastAsia="Calibri" w:hAnsi="Mangal"/>
          <w:sz w:val="24"/>
          <w:szCs w:val="24"/>
        </w:rPr>
        <w:t xml:space="preserve">पैरा</w:t>
      </w:r>
      <w:r>
        <w:rPr>
          <w:rFonts w:ascii="Times New Roman" w:cs="Times New Roman" w:eastAsia="Calibri" w:hAnsi="Times New Roman"/>
          <w:sz w:val="24"/>
          <w:szCs w:val="24"/>
        </w:rPr>
        <w:t xml:space="preserve"> 6.02(iv)</w:t>
      </w:r>
    </w:p>
    <w:p>
      <w:r>
        <w:rPr>
          <w:rFonts w:ascii="Mangal" w:cs="Mangal" w:eastAsia="Calibri" w:hAnsi="Mangal"/>
          <w:sz w:val="24"/>
          <w:szCs w:val="24"/>
        </w:rPr>
        <w:t xml:space="preserve">टी</w:t>
      </w:r>
    </w:p>
    <w:p>
      <w:r>
        <w:rPr>
          <w:rFonts w:ascii="Mangal" w:cs="Mangal" w:eastAsia="Calibri" w:hAnsi="Mangal"/>
          <w:sz w:val="24"/>
          <w:szCs w:val="24"/>
        </w:rPr>
        <w:t xml:space="preserve">जी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505</w:t>
      </w:r>
      <w:r>
        <w:rPr>
          <w:rFonts w:ascii="Mangal" w:cs="Mangal" w:eastAsia="Calibri" w:hAnsi="Mangal"/>
          <w:sz w:val="24"/>
          <w:szCs w:val="24"/>
        </w:rPr>
        <w:t xml:space="preserve">ए.एक्स.टी.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505</w:t>
      </w:r>
      <w:r>
        <w:rPr>
          <w:rFonts w:ascii="Mangal" w:cs="Mangal" w:eastAsia="Calibri" w:hAnsi="Mangal"/>
          <w:sz w:val="24"/>
          <w:szCs w:val="24"/>
        </w:rPr>
        <w:t xml:space="preserve">बी.एक्स.टी.</w:t>
      </w:r>
    </w:p>
    <w:p>
      <w:r>
        <w:rPr>
          <w:rFonts w:ascii="Mangal" w:cs="Mangal" w:eastAsia="Calibri" w:hAnsi="Mangal"/>
          <w:sz w:val="24"/>
          <w:szCs w:val="24"/>
        </w:rPr>
        <w:t xml:space="preserve">डी.पी.</w:t>
      </w:r>
      <w:r>
        <w:rPr>
          <w:rFonts w:ascii="Times New Roman" w:cs="Times New Roman" w:eastAsia="Calibri" w:hAnsi="Times New Roman"/>
          <w:sz w:val="24"/>
          <w:szCs w:val="24"/>
        </w:rPr>
        <w:t xml:space="preserve">519</w:t>
      </w:r>
      <w:r>
        <w:rPr>
          <w:rFonts w:ascii="Mangal" w:cs="Mangal" w:eastAsia="Calibri" w:hAnsi="Mangal"/>
          <w:sz w:val="24"/>
          <w:szCs w:val="24"/>
        </w:rPr>
        <w:t xml:space="preserve">ए.</w:t>
      </w:r>
    </w:p>
    <w:p>
      <w:r>
        <w:rPr>
          <w:rFonts w:ascii="Mangal" w:cs="Mangal" w:eastAsia="Calibri" w:hAnsi="Mangal"/>
          <w:sz w:val="24"/>
          <w:szCs w:val="24"/>
        </w:rPr>
        <w:t xml:space="preserve">एस.आर.</w:t>
      </w:r>
    </w:p>
    <w:p>
      <w:r>
        <w:rPr>
          <w:rFonts w:ascii="Mangal" w:cs="Mangal" w:eastAsia="Calibri" w:hAnsi="Mangal"/>
          <w:sz w:val="24"/>
          <w:szCs w:val="24"/>
        </w:rPr>
        <w:t xml:space="preserve">जी.आर.</w:t>
      </w:r>
    </w:p>
    <w:p>
      <w:r>
        <w:rPr>
          <w:rFonts w:ascii="Mangal" w:cs="Mangal" w:eastAsia="Calibri" w:hAnsi="Mangal"/>
          <w:sz w:val="24"/>
          <w:szCs w:val="24"/>
        </w:rPr>
        <w:t xml:space="preserve">जी. एंड एस.आर.</w:t>
      </w:r>
    </w:p>
    <w:p>
      <w:r>
        <w:rPr>
          <w:rFonts w:ascii="Mangal" w:cs="Mangal" w:eastAsia="Calibri" w:hAnsi="Mangal"/>
          <w:sz w:val="24"/>
          <w:szCs w:val="24"/>
        </w:rPr>
        <w:t xml:space="preserve">आदि</w:t>
      </w:r>
    </w:p>
    <w:p>
      <w:r>
        <w:rPr>
          <w:rFonts w:ascii="Mangal" w:cs="Mangal" w:eastAsia="Calibri" w:hAnsi="Mangal"/>
          <w:sz w:val="24"/>
          <w:szCs w:val="24"/>
        </w:rPr>
        <w:t xml:space="preserve">आदि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(</w:t>
      </w:r>
      <w:r>
        <w:rPr>
          <w:rFonts w:ascii="Mangal" w:cs="Mangal" w:eastAsia="Calibri" w:hAnsi="Mangal"/>
          <w:sz w:val="24"/>
          <w:szCs w:val="24"/>
        </w:rPr>
        <w:t xml:space="preserve">ए</w:t>
      </w:r>
      <w:r>
        <w:rPr>
          <w:rFonts w:ascii="Times New Roman" w:cs="Times New Roman" w:eastAsia="Calibri" w:hAnsi="Times New Roman"/>
          <w:sz w:val="24"/>
          <w:szCs w:val="24"/>
        </w:rPr>
        <w:t xml:space="preserve">) </w:t>
      </w:r>
      <w:r>
        <w:rPr>
          <w:rFonts w:ascii="Mangal" w:cs="Mangal" w:eastAsia="Calibri" w:hAnsi="Mangal"/>
          <w:sz w:val="24"/>
          <w:szCs w:val="24"/>
        </w:rPr>
        <w:t xml:space="preserve">पहला नियम निर्देश।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(</w:t>
      </w:r>
      <w:r>
        <w:rPr>
          <w:rFonts w:ascii="Mangal" w:cs="Mangal" w:eastAsia="Calibri" w:hAnsi="Mangal"/>
          <w:sz w:val="24"/>
          <w:szCs w:val="24"/>
        </w:rPr>
        <w:t xml:space="preserve">बी</w:t>
      </w:r>
      <w:r>
        <w:rPr>
          <w:rFonts w:ascii="Times New Roman" w:cs="Times New Roman" w:eastAsia="Calibri" w:hAnsi="Times New Roman"/>
          <w:sz w:val="24"/>
          <w:szCs w:val="24"/>
        </w:rPr>
        <w:t xml:space="preserve">) </w:t>
      </w:r>
      <w:r>
        <w:rPr>
          <w:rFonts w:ascii="Mangal" w:cs="Mangal" w:eastAsia="Calibri" w:hAnsi="Mangal"/>
          <w:sz w:val="24"/>
          <w:szCs w:val="24"/>
        </w:rPr>
        <w:t xml:space="preserve">दूसरा नियम निर्देश।</w:t>
      </w:r>
    </w:p>
    <w:p>
      <w:r>
        <w:rPr>
          <w:rFonts w:ascii="Times New Roman" w:cs="Times New Roman" w:eastAsia="Calibri" w:hAnsi="Times New Roman"/>
          <w:sz w:val="24"/>
          <w:szCs w:val="24"/>
        </w:rPr>
        <w:t xml:space="preserve">(i) </w:t>
      </w:r>
      <w:r>
        <w:rPr>
          <w:rFonts w:ascii="Mangal" w:cs="Mangal" w:eastAsia="Calibri" w:hAnsi="Mangal"/>
          <w:sz w:val="24"/>
          <w:szCs w:val="24"/>
        </w:rPr>
        <w:t xml:space="preserve">रोमन नियम मद.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2026-10-14T12:12:37.094Z</dcterms:created>
  <dcterms:modified xsi:type="dcterms:W3CDTF">2026-10-14T12:12:37.094Z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