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131C4AC6" w14:textId="77777777" w:rsidR="00673765" w:rsidRPr="00673765" w:rsidRDefault="00E31114" w:rsidP="00673765">
      <w:pPr>
        <w:pStyle w:val="IntenseQuote"/>
        <w:rPr>
          <w:rFonts w:ascii="Arial" w:hAnsi="Arial" w:cs="Arial"/>
          <w:i w:val="0"/>
          <w:iCs w:val="0"/>
          <w:color w:val="000000" w:themeColor="text1"/>
          <w:lang w:val="en-IN"/>
        </w:rPr>
      </w:pPr>
      <w:r w:rsidRPr="00E31114">
        <w:rPr>
          <w:rFonts w:ascii="Arial" w:hAnsi="Arial" w:cs="Arial"/>
          <w:i w:val="0"/>
          <w:iCs w:val="0"/>
          <w:color w:val="000000" w:themeColor="text1"/>
        </w:rPr>
        <w:br/>
      </w:r>
      <w:r w:rsidR="00673765" w:rsidRPr="00673765">
        <w:rPr>
          <w:rFonts w:ascii="Arial" w:hAnsi="Arial" w:cs="Arial"/>
          <w:i w:val="0"/>
          <w:iCs w:val="0"/>
          <w:color w:val="000000" w:themeColor="text1"/>
          <w:lang w:val="en-IN"/>
        </w:rPr>
        <w:t>Selected Model: Logistic Regression</w:t>
      </w:r>
      <w:r w:rsidR="00673765" w:rsidRPr="00673765">
        <w:rPr>
          <w:rFonts w:ascii="Arial" w:hAnsi="Arial" w:cs="Arial"/>
          <w:i w:val="0"/>
          <w:iCs w:val="0"/>
          <w:color w:val="000000" w:themeColor="text1"/>
          <w:lang w:val="en-IN"/>
        </w:rPr>
        <w:br/>
        <w:t>Alternative Model: Decision Tree</w:t>
      </w:r>
    </w:p>
    <w:p w14:paraId="3F6D5B55" w14:textId="77777777" w:rsidR="00673765" w:rsidRPr="00673765" w:rsidRDefault="00673765" w:rsidP="00673765">
      <w:pPr>
        <w:pStyle w:val="IntenseQuote"/>
        <w:rPr>
          <w:rFonts w:ascii="Arial" w:hAnsi="Arial" w:cs="Arial"/>
          <w:i w:val="0"/>
          <w:iCs w:val="0"/>
          <w:color w:val="000000" w:themeColor="text1"/>
          <w:lang w:val="en-IN"/>
        </w:rPr>
      </w:pPr>
      <w:r w:rsidRPr="00673765">
        <w:rPr>
          <w:rFonts w:ascii="Arial" w:hAnsi="Arial" w:cs="Arial"/>
          <w:i w:val="0"/>
          <w:iCs w:val="0"/>
          <w:color w:val="000000" w:themeColor="text1"/>
          <w:lang w:val="en-IN"/>
        </w:rPr>
        <w:t xml:space="preserve">The predictive model aims to estimate the probability of customer delinquency using historical financial and credit </w:t>
      </w:r>
      <w:proofErr w:type="spellStart"/>
      <w:r w:rsidRPr="00673765">
        <w:rPr>
          <w:rFonts w:ascii="Arial" w:hAnsi="Arial" w:cs="Arial"/>
          <w:i w:val="0"/>
          <w:iCs w:val="0"/>
          <w:color w:val="000000" w:themeColor="text1"/>
          <w:lang w:val="en-IN"/>
        </w:rPr>
        <w:t>behavior</w:t>
      </w:r>
      <w:proofErr w:type="spellEnd"/>
      <w:r w:rsidRPr="00673765">
        <w:rPr>
          <w:rFonts w:ascii="Arial" w:hAnsi="Arial" w:cs="Arial"/>
          <w:i w:val="0"/>
          <w:iCs w:val="0"/>
          <w:color w:val="000000" w:themeColor="text1"/>
          <w:lang w:val="en-IN"/>
        </w:rPr>
        <w:t xml:space="preserve"> data. Key variables such as income, credit utilization, payment history, outstanding balance, and number of active credit accounts are used as inputs. The model processes these features to generate a probability score indicating the likelihood of delinquency. Customers with higher scores are classified as high risk, enabling early intervention.</w:t>
      </w:r>
    </w:p>
    <w:p w14:paraId="6C4BE02A" w14:textId="615597B4" w:rsidR="004B5529" w:rsidRPr="00E31114" w:rsidRDefault="004B5529">
      <w:pPr>
        <w:pStyle w:val="IntenseQuote"/>
        <w:rPr>
          <w:rFonts w:ascii="Courier New" w:hAnsi="Courier New" w:cs="Courier New"/>
          <w:i w:val="0"/>
          <w:iCs w:val="0"/>
          <w:color w:val="000000" w:themeColor="text1"/>
        </w:rPr>
      </w:pP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1AAFBF8E" w:rsidR="004B5529" w:rsidRPr="00E31114" w:rsidRDefault="00E31114" w:rsidP="00673765">
      <w:pPr>
        <w:jc w:val="both"/>
        <w:rPr>
          <w:rFonts w:ascii="Arial" w:hAnsi="Arial" w:cs="Arial"/>
          <w:i w:val="0"/>
          <w:iCs w:val="0"/>
          <w:color w:val="000000" w:themeColor="text1"/>
        </w:rPr>
      </w:pPr>
      <w:r w:rsidRPr="00E31114">
        <w:rPr>
          <w:rFonts w:ascii="Arial" w:hAnsi="Arial" w:cs="Arial"/>
          <w:i w:val="0"/>
          <w:iCs w:val="0"/>
          <w:color w:val="000000" w:themeColor="text1"/>
        </w:rPr>
        <w:br/>
      </w:r>
      <w:r w:rsidRPr="00E31114">
        <w:rPr>
          <w:rFonts w:ascii="Arial" w:hAnsi="Arial" w:cs="Arial"/>
          <w:i w:val="0"/>
          <w:iCs w:val="0"/>
          <w:color w:val="000000" w:themeColor="text1"/>
        </w:rPr>
        <w:br/>
      </w:r>
      <w:r w:rsidRPr="00673765">
        <w:rPr>
          <w:rFonts w:ascii="Arial" w:hAnsi="Arial" w:cs="Arial"/>
          <w:i w:val="0"/>
          <w:iCs w:val="0"/>
          <w:color w:val="000000" w:themeColor="text1"/>
        </w:rPr>
        <w:lastRenderedPageBreak/>
        <w:t>[</w:t>
      </w:r>
      <w:r w:rsidR="00673765" w:rsidRPr="00673765">
        <w:rPr>
          <w:rFonts w:ascii="Arial" w:hAnsi="Arial" w:cs="Arial"/>
          <w:i w:val="0"/>
          <w:iCs w:val="0"/>
          <w:color w:val="000000" w:themeColor="text1"/>
        </w:rPr>
        <w:t xml:space="preserve">Logistic regression was chosen because it is highly interpretable and widely used in financial risk modeling. It allows stakeholders to clearly understand how each feature contributes to delinquency risk, which is important for transparency and regulatory compliance. While more complex models may improve accuracy, logistic regression offers a strong balance between performance, explainability, and ease of deployment. This makes it suitable for </w:t>
      </w:r>
      <w:proofErr w:type="spellStart"/>
      <w:r w:rsidR="00673765" w:rsidRPr="00673765">
        <w:rPr>
          <w:rFonts w:ascii="Arial" w:hAnsi="Arial" w:cs="Arial"/>
          <w:i w:val="0"/>
          <w:iCs w:val="0"/>
          <w:color w:val="000000" w:themeColor="text1"/>
        </w:rPr>
        <w:t>Geldium’s</w:t>
      </w:r>
      <w:proofErr w:type="spellEnd"/>
      <w:r w:rsidR="00673765" w:rsidRPr="00673765">
        <w:rPr>
          <w:rFonts w:ascii="Arial" w:hAnsi="Arial" w:cs="Arial"/>
          <w:i w:val="0"/>
          <w:iCs w:val="0"/>
          <w:color w:val="000000" w:themeColor="text1"/>
        </w:rPr>
        <w:t xml:space="preserve"> business and operational needs</w:t>
      </w:r>
      <w:r w:rsidR="00673765" w:rsidRPr="00673765">
        <w:rPr>
          <w:rFonts w:ascii="Arial" w:hAnsi="Arial" w:cs="Arial"/>
          <w:color w:val="000000" w:themeColor="text1"/>
        </w:rPr>
        <w:t>.</w:t>
      </w:r>
      <w:r w:rsidRPr="00E31114">
        <w:rPr>
          <w:rFonts w:ascii="Arial" w:hAnsi="Arial" w:cs="Arial"/>
          <w:i w:val="0"/>
          <w:iCs w:val="0"/>
          <w:color w:val="000000" w:themeColor="text1"/>
        </w:rPr>
        <w:t>]</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58CD341D" w14:textId="5CB426B8" w:rsidR="00673765" w:rsidRPr="00673765" w:rsidRDefault="00673765" w:rsidP="00673765">
      <w:pPr>
        <w:tabs>
          <w:tab w:val="left" w:pos="1930"/>
        </w:tabs>
        <w:jc w:val="both"/>
        <w:rPr>
          <w:rFonts w:ascii="Arial" w:hAnsi="Arial" w:cs="Arial"/>
          <w:i w:val="0"/>
          <w:iCs w:val="0"/>
          <w:color w:val="000000" w:themeColor="text1"/>
          <w:lang w:val="en-IN"/>
        </w:rPr>
      </w:pPr>
      <w:r>
        <w:rPr>
          <w:rFonts w:ascii="Arial" w:hAnsi="Arial" w:cs="Arial"/>
          <w:i w:val="0"/>
          <w:iCs w:val="0"/>
          <w:color w:val="000000" w:themeColor="text1"/>
        </w:rPr>
        <w:tab/>
      </w:r>
      <w:r w:rsidR="00E31114" w:rsidRPr="00E31114">
        <w:rPr>
          <w:rFonts w:ascii="Arial" w:hAnsi="Arial" w:cs="Arial"/>
          <w:i w:val="0"/>
          <w:iCs w:val="0"/>
          <w:color w:val="000000" w:themeColor="text1"/>
        </w:rPr>
        <w:br/>
        <w:t>[</w:t>
      </w:r>
      <w:r w:rsidRPr="00673765">
        <w:rPr>
          <w:rFonts w:ascii="Arial" w:hAnsi="Arial" w:cs="Arial"/>
          <w:i w:val="0"/>
          <w:iCs w:val="0"/>
          <w:color w:val="000000" w:themeColor="text1"/>
          <w:lang w:val="en-IN"/>
        </w:rPr>
        <w:t>The model’s performance will be evaluated using a combination of accuracy and fairness metrics. Accuracy will measure overall correctness of predictions, while precision, recall, and F1 score will assess how effectively the model identifies delinquent customers, particularly in the presence of class imbalance. AUC (ROC) will be used to evaluate the model’s ability to distinguish between delinquent and non-delinquent customers.</w:t>
      </w:r>
    </w:p>
    <w:p w14:paraId="2D2F0295" w14:textId="594F9280" w:rsidR="004B5529" w:rsidRPr="00673765" w:rsidRDefault="00673765" w:rsidP="00673765">
      <w:pPr>
        <w:jc w:val="both"/>
        <w:rPr>
          <w:rFonts w:ascii="Arial" w:hAnsi="Arial" w:cs="Arial"/>
          <w:i w:val="0"/>
          <w:iCs w:val="0"/>
          <w:color w:val="000000" w:themeColor="text1"/>
          <w:lang w:val="en-IN"/>
        </w:rPr>
      </w:pPr>
      <w:r w:rsidRPr="00673765">
        <w:rPr>
          <w:rFonts w:ascii="Arial" w:hAnsi="Arial" w:cs="Arial"/>
          <w:i w:val="0"/>
          <w:iCs w:val="0"/>
          <w:color w:val="000000" w:themeColor="text1"/>
          <w:lang w:val="en-IN"/>
        </w:rPr>
        <w:t>To ensure fairness, model performance will be reviewed across different customer segments, such as income levels. If biased outcomes are detected, corrective actions such as feature review or decision-threshold adjustment will be applied to improve model reliability and ethical use.</w:t>
      </w:r>
      <w:r w:rsidR="00E31114" w:rsidRPr="00E31114">
        <w:rPr>
          <w:rFonts w:ascii="Arial" w:hAnsi="Arial" w:cs="Arial"/>
          <w:i w:val="0"/>
          <w:iCs w:val="0"/>
          <w:color w:val="000000" w:themeColor="text1"/>
        </w:rPr>
        <w:t>]</w:t>
      </w:r>
    </w:p>
    <w:sectPr w:rsidR="004B5529" w:rsidRPr="006737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6BB6" w14:textId="77777777" w:rsidR="005F2ABA" w:rsidRDefault="005F2ABA" w:rsidP="00E31114">
      <w:pPr>
        <w:spacing w:after="0" w:line="240" w:lineRule="auto"/>
      </w:pPr>
      <w:r>
        <w:separator/>
      </w:r>
    </w:p>
  </w:endnote>
  <w:endnote w:type="continuationSeparator" w:id="0">
    <w:p w14:paraId="2371D8F8" w14:textId="77777777" w:rsidR="005F2ABA" w:rsidRDefault="005F2ABA"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C950E" w14:textId="77777777" w:rsidR="005F2ABA" w:rsidRDefault="005F2ABA" w:rsidP="00E31114">
      <w:pPr>
        <w:spacing w:after="0" w:line="240" w:lineRule="auto"/>
      </w:pPr>
      <w:r>
        <w:separator/>
      </w:r>
    </w:p>
  </w:footnote>
  <w:footnote w:type="continuationSeparator" w:id="0">
    <w:p w14:paraId="3EAE8FB5" w14:textId="77777777" w:rsidR="005F2ABA" w:rsidRDefault="005F2ABA"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5F2ABA"/>
    <w:rsid w:val="00673765"/>
    <w:rsid w:val="008237CA"/>
    <w:rsid w:val="00AA1D8D"/>
    <w:rsid w:val="00B47730"/>
    <w:rsid w:val="00CB0664"/>
    <w:rsid w:val="00E31114"/>
    <w:rsid w:val="00E908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6737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Zeeshan Khan</cp:lastModifiedBy>
  <cp:revision>4</cp:revision>
  <dcterms:created xsi:type="dcterms:W3CDTF">2013-12-23T23:15:00Z</dcterms:created>
  <dcterms:modified xsi:type="dcterms:W3CDTF">2026-02-09T18:22:00Z</dcterms:modified>
  <cp:category/>
</cp:coreProperties>
</file>