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p w14:paraId="4437F934" w14:textId="77777777" w:rsidR="006E268C" w:rsidRPr="006E268C" w:rsidRDefault="006E268C" w:rsidP="006E268C">
      <w:pPr>
        <w:rPr>
          <w:rFonts w:ascii="Arial" w:hAnsi="Arial" w:cs="Arial"/>
          <w:color w:val="000000" w:themeColor="text1"/>
          <w:lang w:val="en-IN"/>
        </w:rPr>
      </w:pPr>
      <w:r w:rsidRPr="006E268C">
        <w:rPr>
          <w:rFonts w:ascii="Arial" w:hAnsi="Arial" w:cs="Arial"/>
          <w:color w:val="000000" w:themeColor="text1"/>
          <w:lang w:val="en-IN"/>
        </w:rPr>
        <w:t>The predictive model identified key customer segments with a higher risk of delinquency. Customers with a history of missed or delayed payments and high credit utilization ratios show a significantly higher likelihood of becoming delinquent. Additionally, customers with low income combined with high outstanding balances are more vulnerable to repayment difficulties.</w:t>
      </w:r>
    </w:p>
    <w:p w14:paraId="326010F7" w14:textId="77777777" w:rsidR="006E268C" w:rsidRPr="006E268C" w:rsidRDefault="006E268C" w:rsidP="006E268C">
      <w:pPr>
        <w:rPr>
          <w:rFonts w:ascii="Arial" w:hAnsi="Arial" w:cs="Arial"/>
          <w:color w:val="000000" w:themeColor="text1"/>
          <w:lang w:val="en-IN"/>
        </w:rPr>
      </w:pPr>
      <w:r w:rsidRPr="006E268C">
        <w:rPr>
          <w:rFonts w:ascii="Arial" w:hAnsi="Arial" w:cs="Arial"/>
          <w:b/>
          <w:bCs/>
          <w:color w:val="000000" w:themeColor="text1"/>
          <w:lang w:val="en-IN"/>
        </w:rPr>
        <w:t>Key Predictive Insights:</w:t>
      </w:r>
    </w:p>
    <w:p w14:paraId="2A779BBD" w14:textId="77777777" w:rsidR="006E268C" w:rsidRPr="006E268C" w:rsidRDefault="006E268C" w:rsidP="006E268C">
      <w:pPr>
        <w:numPr>
          <w:ilvl w:val="0"/>
          <w:numId w:val="10"/>
        </w:numPr>
        <w:rPr>
          <w:rFonts w:ascii="Arial" w:hAnsi="Arial" w:cs="Arial"/>
          <w:color w:val="000000" w:themeColor="text1"/>
          <w:lang w:val="en-IN"/>
        </w:rPr>
      </w:pPr>
      <w:r w:rsidRPr="006E268C">
        <w:rPr>
          <w:rFonts w:ascii="Arial" w:hAnsi="Arial" w:cs="Arial"/>
          <w:color w:val="000000" w:themeColor="text1"/>
          <w:lang w:val="en-IN"/>
        </w:rPr>
        <w:t>High credit utilization and missed payments are the strongest predictors of delinquency</w:t>
      </w:r>
    </w:p>
    <w:p w14:paraId="499E6A7D" w14:textId="77777777" w:rsidR="006E268C" w:rsidRPr="006E268C" w:rsidRDefault="006E268C" w:rsidP="006E268C">
      <w:pPr>
        <w:numPr>
          <w:ilvl w:val="0"/>
          <w:numId w:val="10"/>
        </w:numPr>
        <w:rPr>
          <w:rFonts w:ascii="Arial" w:hAnsi="Arial" w:cs="Arial"/>
          <w:color w:val="000000" w:themeColor="text1"/>
          <w:lang w:val="en-IN"/>
        </w:rPr>
      </w:pPr>
      <w:r w:rsidRPr="006E268C">
        <w:rPr>
          <w:rFonts w:ascii="Arial" w:hAnsi="Arial" w:cs="Arial"/>
          <w:color w:val="000000" w:themeColor="text1"/>
          <w:lang w:val="en-IN"/>
        </w:rPr>
        <w:t>Customers managing multiple credit accounts show increased financial stress</w:t>
      </w:r>
    </w:p>
    <w:p w14:paraId="5D682C87" w14:textId="77777777" w:rsidR="006E268C" w:rsidRPr="006E268C" w:rsidRDefault="006E268C" w:rsidP="006E268C">
      <w:pPr>
        <w:numPr>
          <w:ilvl w:val="0"/>
          <w:numId w:val="10"/>
        </w:numPr>
        <w:rPr>
          <w:rFonts w:ascii="Arial" w:hAnsi="Arial" w:cs="Arial"/>
          <w:color w:val="000000" w:themeColor="text1"/>
          <w:lang w:val="en-IN"/>
        </w:rPr>
      </w:pPr>
      <w:r w:rsidRPr="006E268C">
        <w:rPr>
          <w:rFonts w:ascii="Arial" w:hAnsi="Arial" w:cs="Arial"/>
          <w:color w:val="000000" w:themeColor="text1"/>
          <w:lang w:val="en-IN"/>
        </w:rPr>
        <w:t>Early identification of these segments enables proactive collection strategies</w:t>
      </w:r>
    </w:p>
    <w:p w14:paraId="697F273B" w14:textId="77777777" w:rsidR="0045720B" w:rsidRPr="0045720B" w:rsidRDefault="0045720B" w:rsidP="0045720B">
      <w:pPr>
        <w:rPr>
          <w:rFonts w:ascii="Arial" w:hAnsi="Arial" w:cs="Arial"/>
          <w:b/>
          <w:bCs/>
          <w:color w:val="000000" w:themeColor="text1"/>
          <w:lang w:val="en-IN"/>
        </w:rPr>
      </w:pPr>
      <w:r w:rsidRPr="0045720B">
        <w:rPr>
          <w:rFonts w:ascii="Arial" w:hAnsi="Arial" w:cs="Arial"/>
          <w:b/>
          <w:bCs/>
          <w:color w:val="000000" w:themeColor="text1"/>
          <w:lang w:val="en-IN"/>
        </w:rPr>
        <w:t>Key Insights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524"/>
        <w:gridCol w:w="2165"/>
        <w:gridCol w:w="2373"/>
      </w:tblGrid>
      <w:tr w:rsidR="0045720B" w:rsidRPr="0045720B" w14:paraId="0E943AFF" w14:textId="77777777">
        <w:trPr>
          <w:tblHeader/>
          <w:tblCellSpacing w:w="15" w:type="dxa"/>
        </w:trPr>
        <w:tc>
          <w:tcPr>
            <w:tcW w:w="0" w:type="auto"/>
            <w:vAlign w:val="center"/>
            <w:hideMark/>
          </w:tcPr>
          <w:p w14:paraId="4E10EF9B" w14:textId="77777777" w:rsidR="0045720B" w:rsidRPr="0045720B" w:rsidRDefault="0045720B" w:rsidP="0045720B">
            <w:pPr>
              <w:rPr>
                <w:rFonts w:ascii="Arial" w:hAnsi="Arial" w:cs="Arial"/>
                <w:b/>
                <w:bCs/>
                <w:color w:val="000000" w:themeColor="text1"/>
                <w:lang w:val="en-IN"/>
              </w:rPr>
            </w:pPr>
            <w:r w:rsidRPr="0045720B">
              <w:rPr>
                <w:rFonts w:ascii="Arial" w:hAnsi="Arial" w:cs="Arial"/>
                <w:b/>
                <w:bCs/>
                <w:color w:val="000000" w:themeColor="text1"/>
                <w:lang w:val="en-IN"/>
              </w:rPr>
              <w:t>Key Insight</w:t>
            </w:r>
          </w:p>
        </w:tc>
        <w:tc>
          <w:tcPr>
            <w:tcW w:w="0" w:type="auto"/>
            <w:vAlign w:val="center"/>
            <w:hideMark/>
          </w:tcPr>
          <w:p w14:paraId="7AC4D9BB" w14:textId="77777777" w:rsidR="0045720B" w:rsidRPr="0045720B" w:rsidRDefault="0045720B" w:rsidP="0045720B">
            <w:pPr>
              <w:rPr>
                <w:rFonts w:ascii="Arial" w:hAnsi="Arial" w:cs="Arial"/>
                <w:b/>
                <w:bCs/>
                <w:color w:val="000000" w:themeColor="text1"/>
                <w:lang w:val="en-IN"/>
              </w:rPr>
            </w:pPr>
            <w:r w:rsidRPr="0045720B">
              <w:rPr>
                <w:rFonts w:ascii="Arial" w:hAnsi="Arial" w:cs="Arial"/>
                <w:b/>
                <w:bCs/>
                <w:color w:val="000000" w:themeColor="text1"/>
                <w:lang w:val="en-IN"/>
              </w:rPr>
              <w:t>Customer Segment</w:t>
            </w:r>
          </w:p>
        </w:tc>
        <w:tc>
          <w:tcPr>
            <w:tcW w:w="0" w:type="auto"/>
            <w:vAlign w:val="center"/>
            <w:hideMark/>
          </w:tcPr>
          <w:p w14:paraId="6CE1E5A0" w14:textId="77777777" w:rsidR="0045720B" w:rsidRPr="0045720B" w:rsidRDefault="0045720B" w:rsidP="0045720B">
            <w:pPr>
              <w:rPr>
                <w:rFonts w:ascii="Arial" w:hAnsi="Arial" w:cs="Arial"/>
                <w:b/>
                <w:bCs/>
                <w:color w:val="000000" w:themeColor="text1"/>
                <w:lang w:val="en-IN"/>
              </w:rPr>
            </w:pPr>
            <w:r w:rsidRPr="0045720B">
              <w:rPr>
                <w:rFonts w:ascii="Arial" w:hAnsi="Arial" w:cs="Arial"/>
                <w:b/>
                <w:bCs/>
                <w:color w:val="000000" w:themeColor="text1"/>
                <w:lang w:val="en-IN"/>
              </w:rPr>
              <w:t>Influencing Variables</w:t>
            </w:r>
          </w:p>
        </w:tc>
        <w:tc>
          <w:tcPr>
            <w:tcW w:w="0" w:type="auto"/>
            <w:vAlign w:val="center"/>
            <w:hideMark/>
          </w:tcPr>
          <w:p w14:paraId="31330D5B" w14:textId="77777777" w:rsidR="0045720B" w:rsidRPr="0045720B" w:rsidRDefault="0045720B" w:rsidP="0045720B">
            <w:pPr>
              <w:rPr>
                <w:rFonts w:ascii="Arial" w:hAnsi="Arial" w:cs="Arial"/>
                <w:b/>
                <w:bCs/>
                <w:color w:val="000000" w:themeColor="text1"/>
                <w:lang w:val="en-IN"/>
              </w:rPr>
            </w:pPr>
            <w:r w:rsidRPr="0045720B">
              <w:rPr>
                <w:rFonts w:ascii="Arial" w:hAnsi="Arial" w:cs="Arial"/>
                <w:b/>
                <w:bCs/>
                <w:color w:val="000000" w:themeColor="text1"/>
                <w:lang w:val="en-IN"/>
              </w:rPr>
              <w:t>Potential Impact</w:t>
            </w:r>
          </w:p>
        </w:tc>
      </w:tr>
      <w:tr w:rsidR="0045720B" w:rsidRPr="0045720B" w14:paraId="77A488A5" w14:textId="77777777">
        <w:trPr>
          <w:tblCellSpacing w:w="15" w:type="dxa"/>
        </w:trPr>
        <w:tc>
          <w:tcPr>
            <w:tcW w:w="0" w:type="auto"/>
            <w:vAlign w:val="center"/>
            <w:hideMark/>
          </w:tcPr>
          <w:p w14:paraId="67A8016E"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High delinquency risk</w:t>
            </w:r>
          </w:p>
        </w:tc>
        <w:tc>
          <w:tcPr>
            <w:tcW w:w="0" w:type="auto"/>
            <w:vAlign w:val="center"/>
            <w:hideMark/>
          </w:tcPr>
          <w:p w14:paraId="334BCD07"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Customers with past missed payments</w:t>
            </w:r>
          </w:p>
        </w:tc>
        <w:tc>
          <w:tcPr>
            <w:tcW w:w="0" w:type="auto"/>
            <w:vAlign w:val="center"/>
            <w:hideMark/>
          </w:tcPr>
          <w:p w14:paraId="7E0546E1"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Payment history, credit utilization</w:t>
            </w:r>
          </w:p>
        </w:tc>
        <w:tc>
          <w:tcPr>
            <w:tcW w:w="0" w:type="auto"/>
            <w:vAlign w:val="center"/>
            <w:hideMark/>
          </w:tcPr>
          <w:p w14:paraId="2B7D0E91"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Early intervention can reduce defaults</w:t>
            </w:r>
          </w:p>
        </w:tc>
      </w:tr>
      <w:tr w:rsidR="0045720B" w:rsidRPr="0045720B" w14:paraId="181289AB" w14:textId="77777777">
        <w:trPr>
          <w:tblCellSpacing w:w="15" w:type="dxa"/>
        </w:trPr>
        <w:tc>
          <w:tcPr>
            <w:tcW w:w="0" w:type="auto"/>
            <w:vAlign w:val="center"/>
            <w:hideMark/>
          </w:tcPr>
          <w:p w14:paraId="7E1B1614"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Financial stress risk</w:t>
            </w:r>
          </w:p>
        </w:tc>
        <w:tc>
          <w:tcPr>
            <w:tcW w:w="0" w:type="auto"/>
            <w:vAlign w:val="center"/>
            <w:hideMark/>
          </w:tcPr>
          <w:p w14:paraId="702AEC15"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Low-income customers with high balances</w:t>
            </w:r>
          </w:p>
        </w:tc>
        <w:tc>
          <w:tcPr>
            <w:tcW w:w="0" w:type="auto"/>
            <w:vAlign w:val="center"/>
            <w:hideMark/>
          </w:tcPr>
          <w:p w14:paraId="39AFD458"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Income, outstanding balance</w:t>
            </w:r>
          </w:p>
        </w:tc>
        <w:tc>
          <w:tcPr>
            <w:tcW w:w="0" w:type="auto"/>
            <w:vAlign w:val="center"/>
            <w:hideMark/>
          </w:tcPr>
          <w:p w14:paraId="29721168"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Tailored repayment plans</w:t>
            </w:r>
          </w:p>
        </w:tc>
      </w:tr>
      <w:tr w:rsidR="0045720B" w:rsidRPr="0045720B" w14:paraId="17A078BF" w14:textId="77777777">
        <w:trPr>
          <w:tblCellSpacing w:w="15" w:type="dxa"/>
        </w:trPr>
        <w:tc>
          <w:tcPr>
            <w:tcW w:w="0" w:type="auto"/>
            <w:vAlign w:val="center"/>
            <w:hideMark/>
          </w:tcPr>
          <w:p w14:paraId="1A381228" w14:textId="77777777" w:rsidR="0045720B" w:rsidRPr="0045720B" w:rsidRDefault="0045720B" w:rsidP="0045720B">
            <w:pPr>
              <w:rPr>
                <w:rFonts w:ascii="Arial" w:hAnsi="Arial" w:cs="Arial"/>
                <w:color w:val="000000" w:themeColor="text1"/>
                <w:lang w:val="en-IN"/>
              </w:rPr>
            </w:pPr>
            <w:proofErr w:type="spellStart"/>
            <w:r w:rsidRPr="0045720B">
              <w:rPr>
                <w:rFonts w:ascii="Arial" w:hAnsi="Arial" w:cs="Arial"/>
                <w:color w:val="000000" w:themeColor="text1"/>
                <w:lang w:val="en-IN"/>
              </w:rPr>
              <w:t>Behavioral</w:t>
            </w:r>
            <w:proofErr w:type="spellEnd"/>
            <w:r w:rsidRPr="0045720B">
              <w:rPr>
                <w:rFonts w:ascii="Arial" w:hAnsi="Arial" w:cs="Arial"/>
                <w:color w:val="000000" w:themeColor="text1"/>
                <w:lang w:val="en-IN"/>
              </w:rPr>
              <w:t xml:space="preserve"> risk</w:t>
            </w:r>
          </w:p>
        </w:tc>
        <w:tc>
          <w:tcPr>
            <w:tcW w:w="0" w:type="auto"/>
            <w:vAlign w:val="center"/>
            <w:hideMark/>
          </w:tcPr>
          <w:p w14:paraId="741D425F"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Customers with many credit accounts</w:t>
            </w:r>
          </w:p>
        </w:tc>
        <w:tc>
          <w:tcPr>
            <w:tcW w:w="0" w:type="auto"/>
            <w:vAlign w:val="center"/>
            <w:hideMark/>
          </w:tcPr>
          <w:p w14:paraId="21883F68"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Number of active accounts</w:t>
            </w:r>
          </w:p>
        </w:tc>
        <w:tc>
          <w:tcPr>
            <w:tcW w:w="0" w:type="auto"/>
            <w:vAlign w:val="center"/>
            <w:hideMark/>
          </w:tcPr>
          <w:p w14:paraId="02F54D3B" w14:textId="77777777" w:rsidR="0045720B" w:rsidRPr="0045720B" w:rsidRDefault="0045720B" w:rsidP="0045720B">
            <w:pPr>
              <w:rPr>
                <w:rFonts w:ascii="Arial" w:hAnsi="Arial" w:cs="Arial"/>
                <w:color w:val="000000" w:themeColor="text1"/>
                <w:lang w:val="en-IN"/>
              </w:rPr>
            </w:pPr>
            <w:r w:rsidRPr="0045720B">
              <w:rPr>
                <w:rFonts w:ascii="Arial" w:hAnsi="Arial" w:cs="Arial"/>
                <w:color w:val="000000" w:themeColor="text1"/>
                <w:lang w:val="en-IN"/>
              </w:rPr>
              <w:t>Improved credit monitoring</w:t>
            </w:r>
          </w:p>
        </w:tc>
      </w:tr>
    </w:tbl>
    <w:p w14:paraId="50978634" w14:textId="77777777" w:rsidR="00A537D1" w:rsidRPr="00A537D1" w:rsidRDefault="00A537D1">
      <w:pPr>
        <w:rPr>
          <w:rFonts w:ascii="Arial" w:hAnsi="Arial" w:cs="Arial"/>
          <w:color w:val="000000" w:themeColor="text1"/>
        </w:rPr>
      </w:pPr>
    </w:p>
    <w:p w14:paraId="72833B3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lastRenderedPageBreak/>
        <w:t>2. Recommendation Framework</w:t>
      </w:r>
    </w:p>
    <w:p w14:paraId="10AC0481"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Restated Insight:</w:t>
      </w:r>
    </w:p>
    <w:p w14:paraId="323592AB"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Customers with high credit utilization and previous missed payments are more likely to become delinquent.</w:t>
      </w:r>
    </w:p>
    <w:p w14:paraId="4C4880BD"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Proposed Recommendation:</w:t>
      </w:r>
    </w:p>
    <w:p w14:paraId="147FAB9A"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Specific:</w:t>
      </w:r>
      <w:r w:rsidRPr="006E268C">
        <w:rPr>
          <w:rFonts w:ascii="Arial" w:hAnsi="Arial" w:cs="Arial"/>
          <w:b w:val="0"/>
          <w:bCs w:val="0"/>
          <w:color w:val="000000" w:themeColor="text1"/>
          <w:sz w:val="24"/>
          <w:szCs w:val="24"/>
          <w:lang w:val="en-IN"/>
        </w:rPr>
        <w:br/>
        <w:t>Introduce early warning alerts and personalized repayment plans for high-risk customers.</w:t>
      </w:r>
    </w:p>
    <w:p w14:paraId="00E6FDBA"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Measurable:</w:t>
      </w:r>
      <w:r w:rsidRPr="006E268C">
        <w:rPr>
          <w:rFonts w:ascii="Arial" w:hAnsi="Arial" w:cs="Arial"/>
          <w:b w:val="0"/>
          <w:bCs w:val="0"/>
          <w:color w:val="000000" w:themeColor="text1"/>
          <w:sz w:val="24"/>
          <w:szCs w:val="24"/>
          <w:lang w:val="en-IN"/>
        </w:rPr>
        <w:br/>
        <w:t>Reduce delinquency rates in the high-risk segment by at least 10%.</w:t>
      </w:r>
    </w:p>
    <w:p w14:paraId="38A086B0"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Actionable:</w:t>
      </w:r>
      <w:r w:rsidRPr="006E268C">
        <w:rPr>
          <w:rFonts w:ascii="Arial" w:hAnsi="Arial" w:cs="Arial"/>
          <w:b w:val="0"/>
          <w:bCs w:val="0"/>
          <w:color w:val="000000" w:themeColor="text1"/>
          <w:sz w:val="24"/>
          <w:szCs w:val="24"/>
          <w:lang w:val="en-IN"/>
        </w:rPr>
        <w:br/>
        <w:t>The Collections team can proactively contact identified customers and offer flexible payment options.</w:t>
      </w:r>
    </w:p>
    <w:p w14:paraId="015BD7AC"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Relevant:</w:t>
      </w:r>
      <w:r w:rsidRPr="006E268C">
        <w:rPr>
          <w:rFonts w:ascii="Arial" w:hAnsi="Arial" w:cs="Arial"/>
          <w:b w:val="0"/>
          <w:bCs w:val="0"/>
          <w:color w:val="000000" w:themeColor="text1"/>
          <w:sz w:val="24"/>
          <w:szCs w:val="24"/>
          <w:lang w:val="en-IN"/>
        </w:rPr>
        <w:br/>
        <w:t>This directly addresses the key drivers of delinquency identified by the predictive model.</w:t>
      </w:r>
    </w:p>
    <w:p w14:paraId="3B6D963C"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Time-bound:</w:t>
      </w:r>
      <w:r w:rsidRPr="006E268C">
        <w:rPr>
          <w:rFonts w:ascii="Arial" w:hAnsi="Arial" w:cs="Arial"/>
          <w:b w:val="0"/>
          <w:bCs w:val="0"/>
          <w:color w:val="000000" w:themeColor="text1"/>
          <w:sz w:val="24"/>
          <w:szCs w:val="24"/>
          <w:lang w:val="en-IN"/>
        </w:rPr>
        <w:br/>
        <w:t>Implement the intervention within the next 3 months and review performance quarterly.</w:t>
      </w:r>
    </w:p>
    <w:p w14:paraId="762950D7"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Justification and Business Rationale:</w:t>
      </w:r>
    </w:p>
    <w:p w14:paraId="2A0F33A1" w14:textId="77777777" w:rsidR="006E268C" w:rsidRPr="006E268C" w:rsidRDefault="006E268C" w:rsidP="006E268C">
      <w:pPr>
        <w:pStyle w:val="Heading1"/>
        <w:spacing w:before="0" w:after="240"/>
        <w:jc w:val="both"/>
        <w:rPr>
          <w:rFonts w:ascii="Arial" w:hAnsi="Arial" w:cs="Arial"/>
          <w:b w:val="0"/>
          <w:bCs w:val="0"/>
          <w:color w:val="000000" w:themeColor="text1"/>
          <w:sz w:val="24"/>
          <w:szCs w:val="24"/>
          <w:lang w:val="en-IN"/>
        </w:rPr>
      </w:pPr>
      <w:r w:rsidRPr="006E268C">
        <w:rPr>
          <w:rFonts w:ascii="Arial" w:hAnsi="Arial" w:cs="Arial"/>
          <w:b w:val="0"/>
          <w:bCs w:val="0"/>
          <w:color w:val="000000" w:themeColor="text1"/>
          <w:sz w:val="24"/>
          <w:szCs w:val="24"/>
          <w:lang w:val="en-IN"/>
        </w:rPr>
        <w:t>Targeting high-risk customers early helps reduce default rates, improves customer relationships, and minimizes financial losses. Proactive engagement is more cost-effective than late-stage collections.</w:t>
      </w:r>
    </w:p>
    <w:p w14:paraId="08E6A272"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3. Ethical and Responsible AI Considerations</w:t>
      </w:r>
    </w:p>
    <w:p w14:paraId="26842FB5" w14:textId="77777777" w:rsidR="006E268C" w:rsidRPr="006E268C" w:rsidRDefault="006E268C" w:rsidP="006E268C">
      <w:pPr>
        <w:jc w:val="both"/>
        <w:rPr>
          <w:rFonts w:ascii="Arial" w:hAnsi="Arial" w:cs="Arial"/>
          <w:color w:val="000000" w:themeColor="text1"/>
          <w:sz w:val="24"/>
          <w:szCs w:val="24"/>
          <w:lang w:val="en-IN"/>
        </w:rPr>
      </w:pPr>
      <w:r w:rsidRPr="006E268C">
        <w:rPr>
          <w:rFonts w:ascii="Arial" w:hAnsi="Arial" w:cs="Arial"/>
          <w:color w:val="000000" w:themeColor="text1"/>
          <w:sz w:val="24"/>
          <w:szCs w:val="24"/>
          <w:lang w:val="en-IN"/>
        </w:rPr>
        <w:t>The predictive model was designed with fairness and transparency in mind. Model outputs are reviewed across customer groups, such as income levels, to reduce the risk of bias or unfair treatment. Logistic regression was selected to ensure explainability, allowing stakeholders to understand why a customer is flagged as high risk.</w:t>
      </w:r>
    </w:p>
    <w:p w14:paraId="3827063A" w14:textId="77777777" w:rsidR="006E268C" w:rsidRPr="006E268C" w:rsidRDefault="006E268C" w:rsidP="006E268C">
      <w:pPr>
        <w:jc w:val="both"/>
        <w:rPr>
          <w:rFonts w:ascii="Arial" w:hAnsi="Arial" w:cs="Arial"/>
          <w:color w:val="000000" w:themeColor="text1"/>
          <w:sz w:val="24"/>
          <w:szCs w:val="24"/>
          <w:lang w:val="en-IN"/>
        </w:rPr>
      </w:pPr>
      <w:r w:rsidRPr="006E268C">
        <w:rPr>
          <w:rFonts w:ascii="Arial" w:hAnsi="Arial" w:cs="Arial"/>
          <w:color w:val="000000" w:themeColor="text1"/>
          <w:sz w:val="24"/>
          <w:szCs w:val="24"/>
          <w:lang w:val="en-IN"/>
        </w:rPr>
        <w:t xml:space="preserve">The recommendations support responsible financial decision-making by focusing on assistance and early intervention rather than punitive actions. Data privacy </w:t>
      </w:r>
      <w:r w:rsidRPr="006E268C">
        <w:rPr>
          <w:rFonts w:ascii="Arial" w:hAnsi="Arial" w:cs="Arial"/>
          <w:color w:val="000000" w:themeColor="text1"/>
          <w:sz w:val="24"/>
          <w:szCs w:val="24"/>
          <w:lang w:val="en-IN"/>
        </w:rPr>
        <w:lastRenderedPageBreak/>
        <w:t xml:space="preserve">and ethical use of customer information were also considered throughout the </w:t>
      </w:r>
      <w:proofErr w:type="spellStart"/>
      <w:r w:rsidRPr="006E268C">
        <w:rPr>
          <w:rFonts w:ascii="Arial" w:hAnsi="Arial" w:cs="Arial"/>
          <w:color w:val="000000" w:themeColor="text1"/>
          <w:sz w:val="24"/>
          <w:szCs w:val="24"/>
          <w:lang w:val="en-IN"/>
        </w:rPr>
        <w:t>modeling</w:t>
      </w:r>
      <w:proofErr w:type="spellEnd"/>
      <w:r w:rsidRPr="006E268C">
        <w:rPr>
          <w:rFonts w:ascii="Arial" w:hAnsi="Arial" w:cs="Arial"/>
          <w:color w:val="000000" w:themeColor="text1"/>
          <w:sz w:val="24"/>
          <w:szCs w:val="24"/>
          <w:lang w:val="en-IN"/>
        </w:rPr>
        <w:t xml:space="preserve"> and recommendation process.</w:t>
      </w:r>
    </w:p>
    <w:p w14:paraId="33EC1793" w14:textId="3C6269DE" w:rsidR="007D72C2" w:rsidRPr="00A537D1" w:rsidRDefault="007D72C2" w:rsidP="006E268C">
      <w:pPr>
        <w:rPr>
          <w:rFonts w:ascii="Arial" w:hAnsi="Arial" w:cs="Arial"/>
          <w:color w:val="000000" w:themeColor="text1"/>
        </w:rPr>
      </w:pP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EA69D8"/>
    <w:multiLevelType w:val="multilevel"/>
    <w:tmpl w:val="BB6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14261538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A8F"/>
    <w:rsid w:val="00326F90"/>
    <w:rsid w:val="0045720B"/>
    <w:rsid w:val="006E268C"/>
    <w:rsid w:val="007D72C2"/>
    <w:rsid w:val="008237CA"/>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Zeeshan Khan</cp:lastModifiedBy>
  <cp:revision>4</cp:revision>
  <dcterms:created xsi:type="dcterms:W3CDTF">2013-12-23T23:15:00Z</dcterms:created>
  <dcterms:modified xsi:type="dcterms:W3CDTF">2026-02-09T19:16:00Z</dcterms:modified>
  <cp:category/>
</cp:coreProperties>
</file>