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Canopy CoFest 2026 — Session Log &amp; Next Steps</w:t>
      </w:r>
    </w:p>
    <w:p>
      <w:r>
        <w:rPr>
          <w:i/>
        </w:rPr>
        <w:t>AI-Assisted Metadata Generation Workflow — Work Completed 2026-07-17</w:t>
      </w:r>
    </w:p>
    <w:p/>
    <w:p>
      <w:r>
        <w:t>This document summarizes everything completed in today's session using the CEDAR/BioPortal MCP servers (cedar-artifact-mcp, cedar-artifact-rest-mcp, cedar-cee-mcp, bioportal-term-mcp), and lays out what remains for the project.</w:t>
      </w:r>
    </w:p>
    <w:p>
      <w:pPr>
        <w:pStyle w:val="Heading1"/>
      </w:pPr>
      <w:r>
        <w:rPr>
          <w:color w:val="1F4E79"/>
        </w:rPr>
        <w:t>1. MCP Server Setup</w:t>
      </w:r>
    </w:p>
    <w:p>
      <w:r>
        <w:t>Four local MCP servers were confirmed reachable and versioned via a live MCP initialize handshake: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Server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Version</w:t>
            </w:r>
          </w:p>
        </w:tc>
      </w:tr>
      <w:tr>
        <w:tc>
          <w:tcPr>
            <w:tcW w:type="dxa" w:w="2880"/>
          </w:tcPr>
          <w:p>
            <w:r>
              <w:t>cedar-artifact-mcp</w:t>
            </w:r>
          </w:p>
        </w:tc>
        <w:tc>
          <w:tcPr>
            <w:tcW w:type="dxa" w:w="2880"/>
          </w:tcPr>
          <w:p>
            <w:r>
              <w:t>Create/validate/render CEDAR templates &amp; instances (local, no server round-trip)</w:t>
            </w:r>
          </w:p>
        </w:tc>
        <w:tc>
          <w:tcPr>
            <w:tcW w:type="dxa" w:w="2880"/>
          </w:tcPr>
          <w:p>
            <w:r>
              <w:t>1.0.0</w:t>
            </w:r>
          </w:p>
        </w:tc>
      </w:tr>
      <w:tr>
        <w:tc>
          <w:tcPr>
            <w:tcW w:type="dxa" w:w="2880"/>
          </w:tcPr>
          <w:p>
            <w:r>
              <w:t>cedar-artifact-rest-mcp</w:t>
            </w:r>
          </w:p>
        </w:tc>
        <w:tc>
          <w:tcPr>
            <w:tcW w:type="dxa" w:w="2880"/>
          </w:tcPr>
          <w:p>
            <w:r>
              <w:t>Upload/retrieve/validate artifacts on the live CEDAR server</w:t>
            </w:r>
          </w:p>
        </w:tc>
        <w:tc>
          <w:tcPr>
            <w:tcW w:type="dxa" w:w="2880"/>
          </w:tcPr>
          <w:p>
            <w:r>
              <w:t>1.0.0</w:t>
            </w:r>
          </w:p>
        </w:tc>
      </w:tr>
      <w:tr>
        <w:tc>
          <w:tcPr>
            <w:tcW w:type="dxa" w:w="2880"/>
          </w:tcPr>
          <w:p>
            <w:r>
              <w:t>cedar-cee-mcp</w:t>
            </w:r>
          </w:p>
        </w:tc>
        <w:tc>
          <w:tcPr>
            <w:tcW w:type="dxa" w:w="2880"/>
          </w:tcPr>
          <w:p>
            <w:r>
              <w:t>Visualize templates/instances as forms via the CEDAR Embeddable Editor</w:t>
            </w:r>
          </w:p>
        </w:tc>
        <w:tc>
          <w:tcPr>
            <w:tcW w:type="dxa" w:w="2880"/>
          </w:tcPr>
          <w:p>
            <w:r>
              <w:t>1.0.0</w:t>
            </w:r>
          </w:p>
        </w:tc>
      </w:tr>
      <w:tr>
        <w:tc>
          <w:tcPr>
            <w:tcW w:type="dxa" w:w="2880"/>
          </w:tcPr>
          <w:p>
            <w:r>
              <w:t>bioportal-term-mcp</w:t>
            </w:r>
          </w:p>
        </w:tc>
        <w:tc>
          <w:tcPr>
            <w:tcW w:type="dxa" w:w="2880"/>
          </w:tcPr>
          <w:p>
            <w:r>
              <w:t>Search/resolve BioPortal ontology terms, value sets, and classes</w:t>
            </w:r>
          </w:p>
        </w:tc>
        <w:tc>
          <w:tcPr>
            <w:tcW w:type="dxa" w:w="2880"/>
          </w:tcPr>
          <w:p>
            <w:r>
              <w:t>1.28.1</w:t>
            </w:r>
          </w:p>
        </w:tc>
      </w:tr>
    </w:tbl>
    <w:p/>
    <w:p>
      <w:r>
        <w:rPr>
          <w:i/>
        </w:rPr>
        <w:t>Note: these servers were configured under a project-key path variant that didn't match this CLI session, so most steps below drove them directly via stdio JSON-RPC rather than through auto-loaded tools.</w:t>
      </w:r>
    </w:p>
    <w:p>
      <w:pPr>
        <w:pStyle w:val="Heading1"/>
      </w:pPr>
      <w:r>
        <w:rPr>
          <w:color w:val="1F4E79"/>
        </w:rPr>
        <w:t>2. Tutorial — Publication Metadata Template</w:t>
      </w:r>
    </w:p>
    <w:p>
      <w:r>
        <w:t>Completed the onboarding tutorial end-to-end: created a simple publication metadata template, validated and visualized it, populated an instance from a real journal article, and uploaded both to CEDAR.</w:t>
      </w:r>
    </w:p>
    <w:p>
      <w:pPr>
        <w:pStyle w:val="ListBullet"/>
      </w:pPr>
      <w:r>
        <w:rPr>
          <w:b/>
        </w:rPr>
        <w:t xml:space="preserve">Template fields: </w:t>
      </w:r>
      <w:r>
        <w:t>Title, Author element (Author Name + ORCID iD, repeatable), Publication Date, Publication Type (controlled term bound to the SIO “publication” branch, SIO_000087, resolved live via BioPortal), Keywords.</w:t>
      </w:r>
    </w:p>
    <w:p>
      <w:pPr>
        <w:pStyle w:val="ListBullet"/>
      </w:pPr>
      <w:r>
        <w:rPr>
          <w:b/>
        </w:rPr>
        <w:t xml:space="preserve">Instance populated from: </w:t>
      </w:r>
      <w:r>
        <w:t>“Symptom-BERT: Enhancing Cancer Symptom Detection in EHR Clinical Notes” (J Pain Symptom Manage 2024;68:190–198) — metadata resolved via Crossref + PubMed, including the real ORCID for first author Nahid Zeinali.</w:t>
      </w:r>
    </w:p>
    <w:p>
      <w:r>
        <w:rPr>
          <w:b/>
        </w:rPr>
        <w:t xml:space="preserve">Template (CEDAR): </w:t>
      </w:r>
      <w:r>
        <w:rPr>
          <w:color w:val="0563C1"/>
          <w:u w:val="single"/>
        </w:rPr>
        <w:t>https://repo.metadatacenter.org/templates/4a646471-db40-4164-b87b-6809d4c987c8</w:t>
      </w:r>
    </w:p>
    <w:p>
      <w:r>
        <w:rPr>
          <w:b/>
        </w:rPr>
        <w:t xml:space="preserve">Instance (CEDAR): </w:t>
      </w:r>
      <w:r>
        <w:rPr>
          <w:color w:val="0563C1"/>
          <w:u w:val="single"/>
        </w:rPr>
        <w:t>https://repo.metadatacenter.org/template-instances/90c946b6-b4ae-47f8-b4aa-5f5aa1e3f2f2</w:t>
      </w:r>
    </w:p>
    <w:p>
      <w:r>
        <w:t>Known gap: co-author Weiguo Fan's ORCID could not be confidently confirmed (5 name-collision candidates, none matching the paper's affiliation) — left blank rather than guessed; one validation warning remains for that field.</w:t>
      </w:r>
    </w:p>
    <w:p>
      <w:pPr>
        <w:pStyle w:val="Heading1"/>
      </w:pPr>
      <w:r>
        <w:rPr>
          <w:color w:val="1F4E79"/>
        </w:rPr>
        <w:t>3. Project Task 1 — Populate the Canopy Study Template</w:t>
      </w:r>
    </w:p>
    <w:p>
      <w:r>
        <w:t>Retrieved the existing Canopy Study Template from CEDAR (via cedar-artifact-rest-mcp get_template) and generated a completed instance from the SPbE-2026 synthetic study protocol, SOP, and dataset.</w:t>
      </w:r>
    </w:p>
    <w:p>
      <w:r>
        <w:rPr>
          <w:b/>
        </w:rPr>
        <w:t xml:space="preserve">Template (existing, retrieved): </w:t>
      </w:r>
      <w:r>
        <w:rPr>
          <w:color w:val="0563C1"/>
          <w:u w:val="single"/>
        </w:rPr>
        <w:t>https://repo.metadatacenter.org/templates/aff00b59-0bb7-4e40-9437-3216e5fb0ff7</w:t>
      </w:r>
    </w:p>
    <w:p>
      <w:r>
        <w:rPr>
          <w:b/>
        </w:rPr>
        <w:t xml:space="preserve">Instance (uploaded): </w:t>
      </w:r>
      <w:r>
        <w:rPr>
          <w:color w:val="0563C1"/>
          <w:u w:val="single"/>
        </w:rPr>
        <w:t>https://repo.metadatacenter.org/template-instances/603e1a7c-c5d6-4ca4-8e31-ff2680324d01</w:t>
      </w:r>
    </w:p>
    <w:p>
      <w:r>
        <w:t>Key values populated: Access Level (Public), PI (placeholder identity, flagged), Study Start/End Dates, Study Domain, Data Types, Sample Types, Data Use Limitations, etc. — across ~70 template fields.</w:t>
      </w:r>
    </w:p>
    <w:p>
      <w:r>
        <w:t>Known gaps (flagged, not silently guessed): PI identity is a placeholder (Josiah Carberry / Brown University); NIH Institute/Center forced to “NIDDK” since the template has no N/A option and this study isn't NIH-funded; several RADx/COVID-oriented checklist fields don't fit this study and were marked “Other” / “N/A” with explanatory text.</w:t>
      </w:r>
    </w:p>
    <w:p>
      <w:r>
        <w:t>Tool bugs found &amp; worked around: cedar-artifact-mcp's compact-YAML path regenerates @context property IRIs by guessing from field names instead of the template's real UUIDs; and its pre-upload materialization force-injects an invalid @value into empty @id-typed (link) fields. Worked around by validating/uploading a JSON form with a manually-corrected @context via direct CEDAR REST API calls.</w:t>
      </w:r>
    </w:p>
    <w:p>
      <w:pPr>
        <w:pStyle w:val="Heading1"/>
      </w:pPr>
      <w:r>
        <w:rPr>
          <w:color w:val="1F4E79"/>
        </w:rPr>
        <w:t>4. Project Task 2 — Domain-Specific Dataset Template</w:t>
      </w:r>
    </w:p>
    <w:p>
      <w:r>
        <w:t>Designed a new CEDAR template describing the 20 columns of the SPbE-2026 dataset (one row = one participant), matching each column to an appropriate CEDAR field type and, where applicable, a BioPortal-bound controlled term.</w:t>
      </w:r>
    </w:p>
    <w:p>
      <w:r>
        <w:rPr>
          <w:b/>
        </w:rPr>
        <w:t xml:space="preserve">Template (uploaded): </w:t>
      </w:r>
      <w:r>
        <w:rPr>
          <w:color w:val="0563C1"/>
          <w:u w:val="single"/>
        </w:rPr>
        <w:t>https://repo.metadatacenter.org/templates/de1fc77b-bcef-4be7-94cf-fa75c1d21a44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  <w:t>Field Type / Binding</w:t>
            </w:r>
          </w:p>
        </w:tc>
      </w:tr>
      <w:tr>
        <w:tc>
          <w:tcPr>
            <w:tcW w:type="dxa" w:w="4320"/>
          </w:tcPr>
          <w:p>
            <w:r>
              <w:t>subject_id</w:t>
            </w:r>
          </w:p>
        </w:tc>
        <w:tc>
          <w:tcPr>
            <w:tcW w:type="dxa" w:w="4320"/>
          </w:tcPr>
          <w:p>
            <w:r>
              <w:t>text-field</w:t>
            </w:r>
          </w:p>
        </w:tc>
      </w:tr>
      <w:tr>
        <w:tc>
          <w:tcPr>
            <w:tcW w:type="dxa" w:w="4320"/>
          </w:tcPr>
          <w:p>
            <w:r>
              <w:t>enrollment_date, visit_date</w:t>
            </w:r>
          </w:p>
        </w:tc>
        <w:tc>
          <w:tcPr>
            <w:tcW w:type="dxa" w:w="4320"/>
          </w:tcPr>
          <w:p>
            <w:r>
              <w:t>temporal-field (date)</w:t>
            </w:r>
          </w:p>
        </w:tc>
      </w:tr>
      <w:tr>
        <w:tc>
          <w:tcPr>
            <w:tcW w:type="dxa" w:w="4320"/>
          </w:tcPr>
          <w:p>
            <w:r>
              <w:t>age_years, bmi_kg_m2, glucose (baseline/wk12), hba1c_pct, systolic_bp_mmhg, adherence_pct</w:t>
            </w:r>
          </w:p>
        </w:tc>
        <w:tc>
          <w:tcPr>
            <w:tcW w:type="dxa" w:w="4320"/>
          </w:tcPr>
          <w:p>
            <w:r>
              <w:t>numeric-field (units: years, kg/m², mg/dL, %, mmHg)</w:t>
            </w:r>
          </w:p>
        </w:tc>
      </w:tr>
      <w:tr>
        <w:tc>
          <w:tcPr>
            <w:tcW w:type="dxa" w:w="4320"/>
          </w:tcPr>
          <w:p>
            <w:r>
              <w:t>on_glucose_medication, adverse_event, completed_study</w:t>
            </w:r>
          </w:p>
        </w:tc>
        <w:tc>
          <w:tcPr>
            <w:tcW w:type="dxa" w:w="4320"/>
          </w:tcPr>
          <w:p>
            <w:r>
              <w:t>radio-field (True/False — CEDAR has no native boolean type)</w:t>
            </w:r>
          </w:p>
        </w:tc>
      </w:tr>
      <w:tr>
        <w:tc>
          <w:tcPr>
            <w:tcW w:type="dxa" w:w="4320"/>
          </w:tcPr>
          <w:p>
            <w:r>
              <w:t>investigator_orcid / reference_pmid / protocol_doi</w:t>
            </w:r>
          </w:p>
        </w:tc>
        <w:tc>
          <w:tcPr>
            <w:tcW w:type="dxa" w:w="4320"/>
          </w:tcPr>
          <w:p>
            <w:r>
              <w:t>ext-orcid-field / ext-pubmed-field / ext-doi-field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controlled-term → NCIT branch “Sex” (C28421)</w:t>
            </w:r>
          </w:p>
        </w:tc>
      </w:tr>
      <w:tr>
        <w:tc>
          <w:tcPr>
            <w:tcW w:type="dxa" w:w="4320"/>
          </w:tcPr>
          <w:p>
            <w:r>
              <w:t>country</w:t>
            </w:r>
          </w:p>
        </w:tc>
        <w:tc>
          <w:tcPr>
            <w:tcW w:type="dxa" w:w="4320"/>
          </w:tcPr>
          <w:p>
            <w:r>
              <w:t>controlled-term → GAZ (ontology-wide; no clean discrete “country” branch root found)</w:t>
            </w:r>
          </w:p>
        </w:tc>
      </w:tr>
      <w:tr>
        <w:tc>
          <w:tcPr>
            <w:tcW w:type="dxa" w:w="4320"/>
          </w:tcPr>
          <w:p>
            <w:r>
              <w:t>condition</w:t>
            </w:r>
          </w:p>
        </w:tc>
        <w:tc>
          <w:tcPr>
            <w:tcW w:type="dxa" w:w="4320"/>
          </w:tcPr>
          <w:p>
            <w:r>
              <w:t>controlled-term → MONDO “disease” branch (MONDO_0000001)</w:t>
            </w:r>
          </w:p>
        </w:tc>
      </w:tr>
      <w:tr>
        <w:tc>
          <w:tcPr>
            <w:tcW w:type="dxa" w:w="4320"/>
          </w:tcPr>
          <w:p>
            <w:r>
              <w:t>study_arm</w:t>
            </w:r>
          </w:p>
        </w:tc>
        <w:tc>
          <w:tcPr>
            <w:tcW w:type="dxa" w:w="4320"/>
          </w:tcPr>
          <w:p>
            <w:r>
              <w:t>controlled-term → NCIT branch “Protocol Treatment Arm” (C15538)</w:t>
            </w:r>
          </w:p>
        </w:tc>
      </w:tr>
    </w:tbl>
    <w:p>
      <w:pPr>
        <w:pStyle w:val="Heading1"/>
      </w:pPr>
      <w:r>
        <w:rPr>
          <w:color w:val="1F4E79"/>
        </w:rPr>
        <w:t>5. Project Task 3 — Populate the Domain-Specific Template</w:t>
      </w:r>
    </w:p>
    <w:p>
      <w:r>
        <w:t>Populated one instance of the Task 2 template from a fully-complete real dataset row (SUBJ-002), including live-resolved ontology terms for Sex (Male), Country (Germany), Condition (prediabetes), and Study Arm (TRE).</w:t>
      </w:r>
    </w:p>
    <w:p>
      <w:r>
        <w:rPr>
          <w:b/>
        </w:rPr>
        <w:t xml:space="preserve">Instance (uploaded): </w:t>
      </w:r>
      <w:r>
        <w:rPr>
          <w:color w:val="0563C1"/>
          <w:u w:val="single"/>
        </w:rPr>
        <w:t>https://repo.metadatacenter.org/template-instances/27ec2067-9f8a-4613-a68c-66df5b76204c</w:t>
      </w:r>
    </w:p>
    <w:p>
      <w:r>
        <w:t>This upload went through cleanly with no tool-side bugs, since every field had a real value and the template's own name-based property IRIs were self-consistent (unlike Task 1's pre-existing template).</w:t>
      </w:r>
    </w:p>
    <w:p>
      <w:pPr>
        <w:pStyle w:val="Heading1"/>
      </w:pPr>
      <w:r>
        <w:rPr>
          <w:color w:val="1F4E79"/>
        </w:rPr>
        <w:t>6. Project Task 5 — Apply the Workflow to Your Own Data</w:t>
      </w:r>
    </w:p>
    <w:p>
      <w:r>
        <w:t>Applied the same pipeline to your own paper, “Symptom-BERT: Enhancing Cancer Symptom Detection in EHR Clinical Notes” (Zeinali et al., J Pain Symptom Manage 2024). Since the underlying clinical notes are private, the template was built around the paper's own reported structured results (Table 2 + Figure 3) rather than raw patient data.</w:t>
      </w:r>
    </w:p>
    <w:p>
      <w:r>
        <w:rPr>
          <w:b/>
        </w:rPr>
        <w:t xml:space="preserve">Template (uploaded): </w:t>
      </w:r>
      <w:r>
        <w:rPr>
          <w:color w:val="0563C1"/>
          <w:u w:val="single"/>
        </w:rPr>
        <w:t>https://repo.metadatacenter.org/templates/3eafcf00-3193-4d0e-85bd-d05eb19b27d2</w:t>
      </w:r>
    </w:p>
    <w:p>
      <w:r>
        <w:rPr>
          <w:b/>
        </w:rPr>
        <w:t xml:space="preserve">Instance (uploaded): </w:t>
      </w:r>
      <w:r>
        <w:rPr>
          <w:color w:val="0563C1"/>
          <w:u w:val="single"/>
        </w:rPr>
        <w:t>https://repo.metadatacenter.org/template-instances/59aac186-3716-4714-991d-fd70e3c88802</w:t>
      </w:r>
    </w:p>
    <w:p>
      <w:r>
        <w:t>Template structure: study-level fields (Model Name, Base Pretrained Model, corpus sizes, Code Repository URL) plus a repeatable “Symptom Performance” element (13 instances — one per cancer symptom group), each with:</w:t>
      </w:r>
    </w:p>
    <w:p>
      <w:pPr>
        <w:pStyle w:val="ListBullet"/>
      </w:pPr>
      <w:r>
        <w:t>Symptom — controlled term bound to the Human Phenotype Ontology (HP)</w:t>
      </w:r>
    </w:p>
    <w:p>
      <w:pPr>
        <w:pStyle w:val="ListBullet"/>
      </w:pPr>
      <w:r>
        <w:t>Gold-Standard Corpus Frequency, Synthetic Corpus Frequency (from Figure 3)</w:t>
      </w:r>
    </w:p>
    <w:p>
      <w:pPr>
        <w:pStyle w:val="ListBullet"/>
      </w:pPr>
      <w:r>
        <w:t>Internal F1-Score, Internal AUC, External F1-Score, External AUC (from Table 2)</w:t>
      </w:r>
    </w:p>
    <w:p>
      <w:r>
        <w:t>Lessons learned (useful for the CoFest presentation on reusability):</w:t>
      </w:r>
    </w:p>
    <w:p>
      <w:pPr>
        <w:pStyle w:val="ListBullet"/>
      </w:pPr>
      <w:r>
        <w:t>BioPortal's acronym for the Human Phenotype Ontology is “HP”, not “HPO” — an easy silent-failure trap (the wrong acronym returns zero matches without an error).</w:t>
      </w:r>
    </w:p>
    <w:p>
      <w:pPr>
        <w:pStyle w:val="ListBullet"/>
      </w:pPr>
      <w:r>
        <w:t>Free-text symptom names sometimes needed reformulating to hit the right ontology term (e.g. “Depressed mood” → “Depression” to avoid unrelated facial-anatomy terms).</w:t>
      </w:r>
    </w:p>
    <w:p>
      <w:pPr>
        <w:pStyle w:val="ListBullet"/>
      </w:pPr>
      <w:r>
        <w:t>Not every study has row-level participant data to populate a template from — when raw data is private, the reusable move is to build the template around the paper's own reported structured results instead.</w:t>
      </w:r>
    </w:p>
    <w:p>
      <w:pPr>
        <w:pStyle w:val="ListBullet"/>
      </w:pPr>
      <w:r>
        <w:t>The “one repeatable element per unit” pattern (authors in the tutorial, participants in Task 2/3) generalizes cleanly to any per-unit table — here, one row per symptom.</w:t>
      </w:r>
    </w:p>
    <w:p>
      <w:pPr>
        <w:pStyle w:val="Heading1"/>
      </w:pPr>
      <w:r>
        <w:rPr>
          <w:color w:val="1F4E79"/>
        </w:rPr>
        <w:t>7. What's Left — Next Steps</w:t>
      </w:r>
    </w:p>
    <w:p>
      <w:r>
        <w:rPr>
          <w:b/>
        </w:rPr>
        <w:t>Project Task 4 — Register the study in Canopy</w:t>
      </w:r>
    </w:p>
    <w:p>
      <w:r>
        <w:t>Use the Task 1 instance to create and populate a study in Canopy (production: https://canopy.stanford.edu/), attach the SPbE-2026 dataset and related resources, then review and submit. Follow the Canopy Submission Workflow tutorial: https://canopy.stanford.edu/tutorial?tutorial=submissionWorkflow</w:t>
      </w:r>
    </w:p>
    <w:p>
      <w:r>
        <w:rPr>
          <w:b/>
        </w:rPr>
        <w:t>Project Task 6 — Evaluate the workflow</w:t>
      </w:r>
    </w:p>
    <w:p>
      <w:r>
        <w:t>Build a tool to evaluate the quality of the generated templates/metadata (open-ended — e.g., a scoring rubric comparing generated instances against source documents, or automated completeness/consistency checks).</w:t>
      </w:r>
    </w:p>
    <w:p>
      <w:r>
        <w:rPr>
          <w:b/>
        </w:rPr>
        <w:t>Minor cleanups</w:t>
      </w:r>
    </w:p>
    <w:p>
      <w:pPr>
        <w:pStyle w:val="ListBullet"/>
      </w:pPr>
      <w:r>
        <w:t>Decide how to close the tutorial's remaining ORCID gap (Weiguo Fan) — supply it if known, or relax the template's “required” constraint on ORCID.</w:t>
      </w:r>
    </w:p>
    <w:p>
      <w:pPr>
        <w:pStyle w:val="ListBullet"/>
      </w:pPr>
      <w:r>
        <w:t>Consider reporting the two cedar-artifact-mcp bugs found in Task 1 (context IRI mismatch; forced @value on empty @id fields) upstream if the tool is actively maintained.</w:t>
      </w:r>
    </w:p>
    <w:p>
      <w:pPr>
        <w:pStyle w:val="Heading1"/>
      </w:pPr>
      <w:r>
        <w:rPr>
          <w:color w:val="1F4E79"/>
        </w:rPr>
        <w:t>8. Local File Inventory (work/ folder)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  <w:t>Contents</w:t>
            </w:r>
          </w:p>
        </w:tc>
      </w:tr>
      <w:tr>
        <w:tc>
          <w:tcPr>
            <w:tcW w:type="dxa" w:w="4320"/>
          </w:tcPr>
          <w:p>
            <w:r>
              <w:t>work/tutorial/publication-template.yaml</w:t>
            </w:r>
          </w:p>
        </w:tc>
        <w:tc>
          <w:tcPr>
            <w:tcW w:type="dxa" w:w="4320"/>
          </w:tcPr>
          <w:p>
            <w:r>
              <w:t>Tutorial publication template</w:t>
            </w:r>
          </w:p>
        </w:tc>
      </w:tr>
      <w:tr>
        <w:tc>
          <w:tcPr>
            <w:tcW w:type="dxa" w:w="4320"/>
          </w:tcPr>
          <w:p>
            <w:r>
              <w:t>work/tutorial/publication-instance.yaml</w:t>
            </w:r>
          </w:p>
        </w:tc>
        <w:tc>
          <w:tcPr>
            <w:tcW w:type="dxa" w:w="4320"/>
          </w:tcPr>
          <w:p>
            <w:r>
              <w:t>Tutorial instance (Symptom-BERT paper)</w:t>
            </w:r>
          </w:p>
        </w:tc>
      </w:tr>
      <w:tr>
        <w:tc>
          <w:tcPr>
            <w:tcW w:type="dxa" w:w="4320"/>
          </w:tcPr>
          <w:p>
            <w:r>
              <w:t>work/templates/canopy-study-template.json / .yaml</w:t>
            </w:r>
          </w:p>
        </w:tc>
        <w:tc>
          <w:tcPr>
            <w:tcW w:type="dxa" w:w="4320"/>
          </w:tcPr>
          <w:p>
            <w:r>
              <w:t>Task 1 template (retrieved)</w:t>
            </w:r>
          </w:p>
        </w:tc>
      </w:tr>
      <w:tr>
        <w:tc>
          <w:tcPr>
            <w:tcW w:type="dxa" w:w="4320"/>
          </w:tcPr>
          <w:p>
            <w:r>
              <w:t>work/instances/canopy-study-instance.json / .yaml</w:t>
            </w:r>
          </w:p>
        </w:tc>
        <w:tc>
          <w:tcPr>
            <w:tcW w:type="dxa" w:w="4320"/>
          </w:tcPr>
          <w:p>
            <w:r>
              <w:t>Task 1 instance + uploaded copy</w:t>
            </w:r>
          </w:p>
        </w:tc>
      </w:tr>
      <w:tr>
        <w:tc>
          <w:tcPr>
            <w:tcW w:type="dxa" w:w="4320"/>
          </w:tcPr>
          <w:p>
            <w:r>
              <w:t>work/templates/spbe-2026-dataset-template.yaml</w:t>
            </w:r>
          </w:p>
        </w:tc>
        <w:tc>
          <w:tcPr>
            <w:tcW w:type="dxa" w:w="4320"/>
          </w:tcPr>
          <w:p>
            <w:r>
              <w:t>Task 2 template</w:t>
            </w:r>
          </w:p>
        </w:tc>
      </w:tr>
      <w:tr>
        <w:tc>
          <w:tcPr>
            <w:tcW w:type="dxa" w:w="4320"/>
          </w:tcPr>
          <w:p>
            <w:r>
              <w:t>work/instances/spbe-2026-dataset-instance.yaml</w:t>
            </w:r>
          </w:p>
        </w:tc>
        <w:tc>
          <w:tcPr>
            <w:tcW w:type="dxa" w:w="4320"/>
          </w:tcPr>
          <w:p>
            <w:r>
              <w:t>Task 3 instance (SUBJ-002)</w:t>
            </w:r>
          </w:p>
        </w:tc>
      </w:tr>
      <w:tr>
        <w:tc>
          <w:tcPr>
            <w:tcW w:type="dxa" w:w="4320"/>
          </w:tcPr>
          <w:p>
            <w:r>
              <w:t>work/templates/symptom-bert-performance-template.yaml</w:t>
            </w:r>
          </w:p>
        </w:tc>
        <w:tc>
          <w:tcPr>
            <w:tcW w:type="dxa" w:w="4320"/>
          </w:tcPr>
          <w:p>
            <w:r>
              <w:t>Task 5 template</w:t>
            </w:r>
          </w:p>
        </w:tc>
      </w:tr>
      <w:tr>
        <w:tc>
          <w:tcPr>
            <w:tcW w:type="dxa" w:w="4320"/>
          </w:tcPr>
          <w:p>
            <w:r>
              <w:t>work/instances/symptom-bert-performance-instance.yaml</w:t>
            </w:r>
          </w:p>
        </w:tc>
        <w:tc>
          <w:tcPr>
            <w:tcW w:type="dxa" w:w="4320"/>
          </w:tcPr>
          <w:p>
            <w:r>
              <w:t>Task 5 instance (13 symptoms)</w:t>
            </w:r>
          </w:p>
        </w:tc>
      </w:tr>
    </w:tbl>
    <w:p/>
    <w:p>
      <w:r>
        <w:rPr>
          <w:i/>
        </w:rPr>
        <w:t>Generated by Claude Code — CoFest 2026 session summary.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