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1B1F"/>
          <w:sz w:val="30"/>
        </w:rPr>
        <w:t>Estimating the under-30 share of breast cancer in Bangladesh</w:t>
      </w:r>
    </w:p>
    <w:p>
      <w:r>
        <w:rPr>
          <w:i/>
          <w:color w:val="6E6E78"/>
          <w:sz w:val="18"/>
        </w:rPr>
        <w:t>Tables for the Medium post. Generated by 04_figures.R -&gt; make_tables_docx.py. Every figure here is reproducible from the R scripts in R/.</w:t>
      </w:r>
    </w:p>
    <w:p>
      <w:pPr>
        <w:spacing w:before="360" w:after="40"/>
      </w:pPr>
      <w:r>
        <w:rPr>
          <w:b/>
          <w:color w:val="1B1B1F"/>
          <w:sz w:val="22"/>
        </w:rPr>
        <w:t>Table 1. Three questions that sound like one question</w:t>
      </w:r>
    </w:p>
    <w:p>
      <w:pPr>
        <w:spacing w:after="120"/>
      </w:pPr>
      <w:r>
        <w:rPr>
          <w:i/>
          <w:color w:val="6E6E78"/>
          <w:sz w:val="17"/>
        </w:rPr>
        <w:t>Conflating these is the most common error in reporting rare-disease burden.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176"/>
          </w:tcPr>
          <w:p>
            <w:r/>
            <w:r>
              <w:rPr>
                <w:b/>
                <w:sz w:val="18"/>
              </w:rPr>
              <w:t>The question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b/>
                <w:sz w:val="18"/>
              </w:rPr>
              <w:t>What it is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b/>
                <w:sz w:val="18"/>
              </w:rPr>
              <w:t>What you need to answer it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"What share of breast cancer patients are under 30?"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Age distribution among cases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Age composition of diagnosed cases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"What is a young woman's chance of getting it?"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Age-specific incidence rate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Cases AND a population denominator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"How many under-30 women are diagnosed a year?"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National count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The share AND the national all-age total</w:t>
            </w:r>
          </w:p>
        </w:tc>
      </w:tr>
    </w:tbl>
    <w:p>
      <w:pPr>
        <w:spacing w:after="80"/>
      </w:pPr>
      <w:r>
        <w:rPr>
          <w:i/>
          <w:color w:val="6E6E78"/>
          <w:sz w:val="16"/>
        </w:rPr>
        <w:t>A young population produces a young-looking case mix at identical risk. Reading a high share as high risk mistakes a population pyramid for a biological finding.</w:t>
      </w:r>
    </w:p>
    <w:p>
      <w:pPr>
        <w:spacing w:before="360" w:after="40"/>
      </w:pPr>
      <w:r>
        <w:rPr>
          <w:b/>
          <w:color w:val="1B1B1F"/>
          <w:sz w:val="22"/>
        </w:rPr>
        <w:t>Table 2. The Bangladeshi hospital evidence</w:t>
      </w:r>
    </w:p>
    <w:p>
      <w:pPr>
        <w:spacing w:after="120"/>
      </w:pPr>
      <w:r>
        <w:rPr>
          <w:i/>
          <w:color w:val="6E6E78"/>
          <w:sz w:val="17"/>
        </w:rPr>
        <w:t>Study sizes are real. Under-30 counts are ILLUSTRATIVE: no published Bangladeshi series reports a count under 30.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/>
                <w:sz w:val="18"/>
              </w:rPr>
              <w:t>Patients (n)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/>
                <w:sz w:val="18"/>
              </w:rPr>
              <w:t>Under 30 (x)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Study A (tertiary, Dhaka)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8"/>
              </w:rPr>
              <w:t>tertiary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34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5.9%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Study B (university hosp., Dhaka)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8"/>
              </w:rPr>
              <w:t>tertiary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Study C (private hosp., Dhaka)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8"/>
              </w:rPr>
              <w:t>private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276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5.8%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Study D (regional med. college)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8"/>
              </w:rPr>
              <w:t>regional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120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Study E (cancer institute)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8"/>
              </w:rPr>
              <w:t>tertiary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210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Study F (pathology lab series)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8"/>
              </w:rPr>
              <w:t>pathology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160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4.4%</w:t>
            </w:r>
          </w:p>
        </w:tc>
      </w:tr>
      <w:tr>
        <w:tc>
          <w:tcPr>
            <w:tcW w:type="dxa" w:w="3744"/>
            <w:shd w:val="clear" w:fill="FBF0EC"/>
          </w:tcPr>
          <w:p>
            <w:r/>
            <w:r>
              <w:rPr>
                <w:b/>
                <w:color w:val="C0492B"/>
                <w:sz w:val="18"/>
              </w:rPr>
              <w:t>Pooled (random effects)</w:t>
            </w:r>
          </w:p>
        </w:tc>
        <w:tc>
          <w:tcPr>
            <w:tcW w:type="dxa" w:w="1584"/>
            <w:shd w:val="clear" w:fill="FBF0EC"/>
          </w:tcPr>
          <w:p>
            <w:pPr>
              <w:jc w:val="right"/>
            </w:pPr>
            <w:r/>
            <w:r>
              <w:rPr>
                <w:b/>
                <w:color w:val="C0492B"/>
                <w:sz w:val="18"/>
              </w:rPr>
              <w:t>—</w:t>
            </w:r>
          </w:p>
        </w:tc>
        <w:tc>
          <w:tcPr>
            <w:tcW w:type="dxa" w:w="1440"/>
            <w:shd w:val="clear" w:fill="FBF0EC"/>
          </w:tcPr>
          <w:p>
            <w:pPr>
              <w:jc w:val="right"/>
            </w:pPr>
            <w:r/>
            <w:r>
              <w:rPr>
                <w:b/>
                <w:color w:val="C0492B"/>
                <w:sz w:val="18"/>
              </w:rPr>
              <w:t>850</w:t>
            </w:r>
          </w:p>
        </w:tc>
        <w:tc>
          <w:tcPr>
            <w:tcW w:type="dxa" w:w="1440"/>
            <w:shd w:val="clear" w:fill="FBF0EC"/>
          </w:tcPr>
          <w:p>
            <w:pPr>
              <w:jc w:val="right"/>
            </w:pPr>
            <w:r/>
            <w:r>
              <w:rPr>
                <w:b/>
                <w:color w:val="C0492B"/>
                <w:sz w:val="18"/>
              </w:rPr>
              <w:t>41</w:t>
            </w:r>
          </w:p>
        </w:tc>
        <w:tc>
          <w:tcPr>
            <w:tcW w:type="dxa" w:w="1296"/>
            <w:shd w:val="clear" w:fill="FBF0EC"/>
          </w:tcPr>
          <w:p>
            <w:pPr>
              <w:jc w:val="right"/>
            </w:pPr>
            <w:r/>
            <w:r>
              <w:rPr>
                <w:b/>
                <w:color w:val="C0492B"/>
                <w:sz w:val="18"/>
              </w:rPr>
              <w:t>5.2%</w:t>
            </w:r>
          </w:p>
        </w:tc>
      </w:tr>
    </w:tbl>
    <w:p>
      <w:pPr>
        <w:spacing w:after="80"/>
      </w:pPr>
      <w:r>
        <w:rPr>
          <w:i/>
          <w:color w:val="6E6E78"/>
          <w:sz w:val="16"/>
        </w:rPr>
        <w:t>A mean age of 46.2 is compatible with an under-30 share of 1% or of 10%. Published means cannot be inverted into age-band counts.</w:t>
      </w:r>
    </w:p>
    <w:p>
      <w:pPr>
        <w:spacing w:before="360" w:after="40"/>
      </w:pPr>
      <w:r>
        <w:rPr>
          <w:b/>
          <w:color w:val="1B1B1F"/>
          <w:sz w:val="22"/>
        </w:rPr>
        <w:t>Table 3. Precision is not accuracy</w:t>
      </w:r>
    </w:p>
    <w:p>
      <w:pPr>
        <w:spacing w:after="120"/>
      </w:pPr>
      <w:r>
        <w:rPr>
          <w:i/>
          <w:color w:val="6E6E78"/>
          <w:sz w:val="17"/>
        </w:rPr>
        <w:t>Pooling more studies that share the same selection bias. Simulation: true national share 2%, referral tilt 2.1x, 400 replicates per row.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Studies pooled</w:t>
            </w:r>
          </w:p>
        </w:tc>
        <w:tc>
          <w:tcPr>
            <w:tcW w:type="dxa" w:w="4896"/>
          </w:tcPr>
          <w:p>
            <w:pPr>
              <w:jc w:val="right"/>
            </w:pPr>
            <w:r/>
            <w:r>
              <w:rPr>
                <w:b/>
                <w:sz w:val="18"/>
              </w:rPr>
              <w:t>Chance the 95% interval contains the truth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896"/>
          </w:tcPr>
          <w:p>
            <w:pPr>
              <w:jc w:val="right"/>
            </w:pPr>
            <w:r/>
            <w:r>
              <w:rPr>
                <w:sz w:val="18"/>
              </w:rPr>
              <w:t>32%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896"/>
          </w:tcPr>
          <w:p>
            <w:pPr>
              <w:jc w:val="right"/>
            </w:pPr>
            <w:r/>
            <w:r>
              <w:rPr>
                <w:sz w:val="18"/>
              </w:rPr>
              <w:t>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896"/>
          </w:tcPr>
          <w:p>
            <w:pPr>
              <w:jc w:val="right"/>
            </w:pPr>
            <w:r/>
            <w:r>
              <w:rPr>
                <w:sz w:val="18"/>
              </w:rPr>
              <w:t>1%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4896"/>
          </w:tcPr>
          <w:p>
            <w:pPr>
              <w:jc w:val="right"/>
            </w:pPr>
            <w:r/>
            <w:r>
              <w:rPr>
                <w:sz w:val="18"/>
              </w:rPr>
              <w:t>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4896"/>
          </w:tcPr>
          <w:p>
            <w:pPr>
              <w:jc w:val="right"/>
            </w:pPr>
            <w:r/>
            <w:r>
              <w:rPr>
                <w:sz w:val="18"/>
              </w:rPr>
              <w:t>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4896"/>
          </w:tcPr>
          <w:p>
            <w:pPr>
              <w:jc w:val="right"/>
            </w:pPr>
            <w:r/>
            <w:r>
              <w:rPr>
                <w:sz w:val="18"/>
              </w:rPr>
              <w:t>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4896"/>
          </w:tcPr>
          <w:p>
            <w:pPr>
              <w:jc w:val="right"/>
            </w:pPr>
            <w:r/>
            <w:r>
              <w:rPr>
                <w:sz w:val="18"/>
              </w:rPr>
              <w:t>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4896"/>
          </w:tcPr>
          <w:p>
            <w:pPr>
              <w:jc w:val="right"/>
            </w:pPr>
            <w:r/>
            <w:r>
              <w:rPr>
                <w:sz w:val="18"/>
              </w:rPr>
              <w:t>0%</w:t>
            </w:r>
          </w:p>
        </w:tc>
      </w:tr>
    </w:tbl>
    <w:p>
      <w:pPr>
        <w:spacing w:after="80"/>
      </w:pPr>
      <w:r>
        <w:rPr>
          <w:i/>
          <w:color w:val="6E6E78"/>
          <w:sz w:val="16"/>
        </w:rPr>
        <w:t>Sampling error shrinks with more data. Selection bias does not — it just becomes more precisely wrong.</w:t>
      </w:r>
    </w:p>
    <w:p>
      <w:pPr>
        <w:spacing w:before="360" w:after="40"/>
      </w:pPr>
      <w:r>
        <w:rPr>
          <w:b/>
          <w:color w:val="1B1B1F"/>
          <w:sz w:val="22"/>
        </w:rPr>
        <w:t>Table 4. One equation, two unknowns: what the tilt assumption buys</w:t>
      </w:r>
    </w:p>
    <w:p>
      <w:pPr>
        <w:spacing w:after="120"/>
      </w:pPr>
      <w:r>
        <w:rPr>
          <w:i/>
          <w:color w:val="6E6E78"/>
          <w:sz w:val="17"/>
        </w:rPr>
        <w:t>logit(what hospitals see) = logit(national truth) + delta. Every row fits the hospital data exactly as well as every other row.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Assumed referral tilt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sz w:val="18"/>
              </w:rPr>
              <w:t>National share under 30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/>
                <w:sz w:val="18"/>
              </w:rPr>
              <w:t>Women per year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b/>
                <w:sz w:val="18"/>
              </w:rPr>
              <w:t>Per 100,000 aged 20-29</w:t>
            </w:r>
          </w:p>
        </w:tc>
      </w:tr>
      <w:tr>
        <w:tc>
          <w:tcPr>
            <w:tcW w:type="dxa" w:w="3744"/>
            <w:shd w:val="clear" w:fill="FBF0EC"/>
          </w:tcPr>
          <w:p>
            <w:r/>
            <w:r>
              <w:rPr>
                <w:b/>
                <w:color w:val="C0492B"/>
                <w:sz w:val="18"/>
              </w:rPr>
              <w:t>No referral tilt at all (delta = 0)</w:t>
            </w:r>
          </w:p>
        </w:tc>
        <w:tc>
          <w:tcPr>
            <w:tcW w:type="dxa" w:w="2160"/>
            <w:shd w:val="clear" w:fill="FBF0EC"/>
          </w:tcPr>
          <w:p>
            <w:pPr>
              <w:jc w:val="right"/>
            </w:pPr>
            <w:r/>
            <w:r>
              <w:rPr>
                <w:b/>
                <w:color w:val="C0492B"/>
                <w:sz w:val="18"/>
              </w:rPr>
              <w:t>5.2%</w:t>
            </w:r>
          </w:p>
        </w:tc>
        <w:tc>
          <w:tcPr>
            <w:tcW w:type="dxa" w:w="1728"/>
            <w:shd w:val="clear" w:fill="FBF0EC"/>
          </w:tcPr>
          <w:p>
            <w:pPr>
              <w:jc w:val="right"/>
            </w:pPr>
            <w:r/>
            <w:r>
              <w:rPr>
                <w:b/>
                <w:color w:val="C0492B"/>
                <w:sz w:val="18"/>
              </w:rPr>
              <w:t>492</w:t>
            </w:r>
          </w:p>
        </w:tc>
        <w:tc>
          <w:tcPr>
            <w:tcW w:type="dxa" w:w="2016"/>
            <w:shd w:val="clear" w:fill="FBF0EC"/>
          </w:tcPr>
          <w:p>
            <w:pPr>
              <w:jc w:val="right"/>
            </w:pPr>
            <w:r/>
            <w:r>
              <w:rPr>
                <w:b/>
                <w:color w:val="C0492B"/>
                <w:sz w:val="18"/>
              </w:rPr>
              <w:t>3.28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Mild tilt   (OR = 1.5)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3.5%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8"/>
              </w:rPr>
              <w:t>334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2.23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Central tilt  (OR = 2.1, the learned mean)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2.5%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8"/>
              </w:rPr>
              <w:t>241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1.61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Strong tilt  (OR = 3.0)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1.8%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8"/>
              </w:rPr>
              <w:t>170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1.13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Severe tilt  (OR = 4.0)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1.4%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8"/>
              </w:rPr>
              <w:t>128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0.85</w:t>
            </w:r>
          </w:p>
        </w:tc>
      </w:tr>
    </w:tbl>
    <w:p>
      <w:pPr>
        <w:spacing w:after="80"/>
      </w:pPr>
      <w:r>
        <w:rPr>
          <w:i/>
          <w:color w:val="6E6E78"/>
          <w:sz w:val="16"/>
        </w:rPr>
        <w:t>The top row is what naive pooling silently assumes: that published hospital case series are a random sample of the country.</w:t>
      </w:r>
    </w:p>
    <w:p>
      <w:pPr>
        <w:spacing w:before="360" w:after="40"/>
      </w:pPr>
      <w:r>
        <w:rPr>
          <w:b/>
          <w:color w:val="1B1B1F"/>
          <w:sz w:val="22"/>
        </w:rPr>
        <w:t>Table 5. The ladder: what each ingredient is worth</w:t>
      </w:r>
    </w:p>
    <w:p>
      <w:pPr>
        <w:spacing w:after="120"/>
      </w:pPr>
      <w:r>
        <w:rPr>
          <w:i/>
          <w:color w:val="6E6E78"/>
          <w:sz w:val="17"/>
        </w:rPr>
        <w:t>Same data throughout. Only the assumptions change.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4032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/>
                <w:sz w:val="18"/>
              </w:rPr>
              <w:t>Share under 30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/>
                <w:sz w:val="18"/>
              </w:rPr>
              <w:t>95% interval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/>
                <w:sz w:val="18"/>
              </w:rPr>
              <w:t>National count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8"/>
              </w:rPr>
              <w:t>M0 Naive pooled hospital data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8"/>
              </w:rPr>
              <w:t>5.2%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3.9% – 6.9%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8"/>
              </w:rPr>
              <w:t>492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8"/>
              </w:rPr>
              <w:t>M1 Hierarchical, no tilt, no regional prior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8"/>
              </w:rPr>
              <w:t>4.7%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3.0% – 6.6%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8"/>
              </w:rPr>
              <w:t>448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8"/>
              </w:rPr>
              <w:t>M2 + regional registry prior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8"/>
              </w:rPr>
              <w:t>3.7%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2.7% – 5.2%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8"/>
              </w:rPr>
              <w:t>352</w:t>
            </w:r>
          </w:p>
        </w:tc>
      </w:tr>
      <w:tr>
        <w:tc>
          <w:tcPr>
            <w:tcW w:type="dxa" w:w="4032"/>
            <w:shd w:val="clear" w:fill="FBF0EC"/>
          </w:tcPr>
          <w:p>
            <w:r/>
            <w:r>
              <w:rPr>
                <w:b/>
                <w:color w:val="C0492B"/>
                <w:sz w:val="18"/>
              </w:rPr>
              <w:t>M3 + referral-tilt correction (full)</w:t>
            </w:r>
          </w:p>
        </w:tc>
        <w:tc>
          <w:tcPr>
            <w:tcW w:type="dxa" w:w="1728"/>
            <w:shd w:val="clear" w:fill="FBF0EC"/>
          </w:tcPr>
          <w:p>
            <w:pPr>
              <w:jc w:val="right"/>
            </w:pPr>
            <w:r/>
            <w:r>
              <w:rPr>
                <w:b/>
                <w:color w:val="C0492B"/>
                <w:sz w:val="18"/>
              </w:rPr>
              <w:t>2.0%</w:t>
            </w:r>
          </w:p>
        </w:tc>
        <w:tc>
          <w:tcPr>
            <w:tcW w:type="dxa" w:w="2160"/>
            <w:shd w:val="clear" w:fill="FBF0EC"/>
          </w:tcPr>
          <w:p>
            <w:pPr>
              <w:jc w:val="right"/>
            </w:pPr>
            <w:r/>
            <w:r>
              <w:rPr>
                <w:b/>
                <w:color w:val="C0492B"/>
                <w:sz w:val="18"/>
              </w:rPr>
              <w:t>1.1% – 3.3%</w:t>
            </w:r>
          </w:p>
        </w:tc>
        <w:tc>
          <w:tcPr>
            <w:tcW w:type="dxa" w:w="1728"/>
            <w:shd w:val="clear" w:fill="FBF0EC"/>
          </w:tcPr>
          <w:p>
            <w:pPr>
              <w:jc w:val="right"/>
            </w:pPr>
            <w:r/>
            <w:r>
              <w:rPr>
                <w:b/>
                <w:color w:val="C0492B"/>
                <w:sz w:val="18"/>
              </w:rPr>
              <w:t>192</w:t>
            </w:r>
          </w:p>
        </w:tc>
      </w:tr>
    </w:tbl>
    <w:p>
      <w:pPr>
        <w:spacing w:after="80"/>
      </w:pPr>
      <w:r>
        <w:rPr>
          <w:i/>
          <w:color w:val="6E6E78"/>
          <w:sz w:val="16"/>
        </w:rPr>
        <w:t>Almost all of the movement is in the last row — the one parameter that no additional Bangladeshi hospital data could ever inform.</w:t>
      </w:r>
    </w:p>
    <w:p>
      <w:pPr>
        <w:spacing w:before="360" w:after="40"/>
      </w:pPr>
      <w:r>
        <w:rPr>
          <w:b/>
          <w:color w:val="1B1B1F"/>
          <w:sz w:val="22"/>
        </w:rPr>
        <w:t>Table 6. Sensitivity: the assumption, not the data, is in charge</w:t>
      </w:r>
    </w:p>
    <w:p>
      <w:pPr>
        <w:spacing w:after="120"/>
      </w:pPr>
      <w:r>
        <w:rPr>
          <w:i/>
          <w:color w:val="6E6E78"/>
          <w:sz w:val="17"/>
        </w:rPr>
        <w:t>Refitting the full Bayesian model under different prior beliefs about the referral tilt.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Prior tilt (odds ratio)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b/>
                <w:sz w:val="18"/>
              </w:rPr>
              <w:t>Posterior share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b/>
                <w:sz w:val="18"/>
              </w:rPr>
              <w:t>95% credible interval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b/>
                <w:sz w:val="18"/>
              </w:rPr>
              <w:t>National count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1.0x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3.2%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1.9% – 5.3%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306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1.5x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2.4%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1.5% – 3.9%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232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2.1x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2.1%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1.3% – 3.1%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203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3.0x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1.6%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1.0% – 2.5%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4.1x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1.3%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0.8% – 2.1%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126</w:t>
            </w:r>
          </w:p>
        </w:tc>
      </w:tr>
    </w:tbl>
    <w:p>
      <w:pPr>
        <w:spacing w:after="80"/>
      </w:pPr>
      <w:r>
        <w:rPr>
          <w:i/>
          <w:color w:val="6E6E78"/>
          <w:sz w:val="16"/>
        </w:rPr>
        <w:t>The answer moves by a factor of roughly four across this range. That fact is the finding.</w:t>
      </w:r>
    </w:p>
    <w:p>
      <w:pPr>
        <w:spacing w:before="360" w:after="40"/>
      </w:pPr>
      <w:r>
        <w:rPr>
          <w:b/>
          <w:color w:val="1B1B1F"/>
          <w:sz w:val="22"/>
        </w:rPr>
        <w:t>Table 7. Leave-one-study-out</w:t>
      </w:r>
    </w:p>
    <w:p>
      <w:pPr>
        <w:spacing w:after="120"/>
      </w:pPr>
      <w:r>
        <w:rPr>
          <w:i/>
          <w:color w:val="6E6E78"/>
          <w:sz w:val="17"/>
        </w:rPr>
        <w:t>Refitting the full model with each Bangladeshi study removed in turn.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608"/>
          </w:tcPr>
          <w:p>
            <w:r/>
            <w:r>
              <w:rPr>
                <w:b/>
                <w:sz w:val="18"/>
              </w:rPr>
              <w:t>Study removed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b/>
                <w:sz w:val="18"/>
              </w:rPr>
              <w:t>Posterior share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b/>
                <w:sz w:val="18"/>
              </w:rPr>
              <w:t>Shift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8"/>
              </w:rPr>
              <w:t>2.05%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+0.00 pp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Study A (tertiary, Dhaka)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8"/>
              </w:rPr>
              <w:t>1.99%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-0.06 pp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Study B (university hosp., Dhaka)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8"/>
              </w:rPr>
              <w:t>2.02%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-0.03 pp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Study C (private hosp., Dhaka)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8"/>
              </w:rPr>
              <w:t>1.90%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-0.15 pp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Study D (regional med. college)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8"/>
              </w:rPr>
              <w:t>1.98%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-0.07 pp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Study E (cancer institute)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8"/>
              </w:rPr>
              <w:t>2.06%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+0.01 pp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Study F (pathology lab series)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8"/>
              </w:rPr>
              <w:t>2.02%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-0.03 pp</w:t>
            </w:r>
          </w:p>
        </w:tc>
      </w:tr>
    </w:tbl>
    <w:p>
      <w:pPr>
        <w:spacing w:after="80"/>
      </w:pPr>
      <w:r>
        <w:rPr>
          <w:i/>
          <w:color w:val="6E6E78"/>
          <w:sz w:val="16"/>
        </w:rPr>
        <w:t>No single study drives the estimate. The estimate is driven by the tilt assumption — which is a more honest thing to depend on, because it can be argued about in public.</w:t>
      </w:r>
    </w:p>
    <w:p>
      <w:pPr>
        <w:spacing w:before="360" w:after="40"/>
      </w:pPr>
      <w:r>
        <w:rPr>
          <w:b/>
          <w:color w:val="1B1B1F"/>
          <w:sz w:val="22"/>
        </w:rPr>
        <w:t>Table 8. The headline, stated the way it deserves to be stated</w:t>
      </w:r>
    </w:p>
    <w:p>
      <w:pPr>
        <w:spacing w:after="120"/>
      </w:pPr>
      <w:r>
        <w:rPr>
          <w:i/>
          <w:color w:val="6E6E78"/>
          <w:sz w:val="17"/>
        </w:rPr>
        <w:t>Model-based estimate. Bangladesh has no population-based cancer registry.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760"/>
          </w:tcPr>
          <w:p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b/>
                <w:sz w:val="18"/>
              </w:rPr>
              <w:t>Estimate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Share of breast cancers before age 30 (tilt assumption only)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1.8% – 3.5%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Share, also carrying study sampling noise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1.3% – 4.7%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Bayesian posterior share (median, 95% CrI)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2.0% (1.3% – 3.2%)</w:t>
            </w:r>
          </w:p>
        </w:tc>
      </w:tr>
      <w:tr>
        <w:tc>
          <w:tcPr>
            <w:tcW w:type="dxa" w:w="5760"/>
            <w:shd w:val="clear" w:fill="FBF0EC"/>
          </w:tcPr>
          <w:p>
            <w:r/>
            <w:r>
              <w:rPr>
                <w:b/>
                <w:color w:val="C0492B"/>
                <w:sz w:val="18"/>
              </w:rPr>
              <w:t>Women diagnosed before 30 per year (tilt range)</w:t>
            </w:r>
          </w:p>
        </w:tc>
        <w:tc>
          <w:tcPr>
            <w:tcW w:type="dxa" w:w="3168"/>
            <w:shd w:val="clear" w:fill="FBF0EC"/>
          </w:tcPr>
          <w:p>
            <w:pPr>
              <w:jc w:val="right"/>
            </w:pPr>
            <w:r/>
            <w:r>
              <w:rPr>
                <w:b/>
                <w:color w:val="C0492B"/>
                <w:sz w:val="18"/>
              </w:rPr>
              <w:t>170 – 334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Bayesian posterior count (median, 95% CrI)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187 (95 – 363)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Incidence per 100,000 women aged 20–29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about 1 – 3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Individual annual risk, woman aged 20–29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roughly 1 in 50,000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Posterior referral tilt (odds ratio)</w:t>
            </w:r>
          </w:p>
        </w:tc>
        <w:tc>
          <w:tcPr>
            <w:tcW w:type="dxa" w:w="3168"/>
          </w:tcPr>
          <w:p>
            <w:pPr>
              <w:jc w:val="right"/>
            </w:pPr>
            <w:r/>
            <w:r>
              <w:rPr>
                <w:sz w:val="18"/>
              </w:rPr>
              <w:t>2.3 (1.5 – 3.4)</w:t>
            </w:r>
          </w:p>
        </w:tc>
      </w:tr>
    </w:tbl>
    <w:p>
      <w:pPr>
        <w:spacing w:after="80"/>
      </w:pPr>
      <w:r>
        <w:rPr>
          <w:i/>
          <w:color w:val="6E6E78"/>
          <w:sz w:val="16"/>
        </w:rPr>
        <w:t>Rare is a rate. Hundreds is a count. Both sentences describe the same number.</w:t>
      </w:r>
    </w:p>
    <w:p>
      <w:r>
        <w:br w:type="page"/>
      </w:r>
    </w:p>
    <w:p>
      <w:r>
        <w:rPr>
          <w:b/>
          <w:sz w:val="24"/>
        </w:rPr>
        <w:t>Provenance of every input</w:t>
      </w:r>
    </w:p>
    <w:p>
      <w:pPr>
        <w:spacing w:before="360" w:after="40"/>
      </w:pPr>
      <w:r>
        <w:rPr>
          <w:b/>
          <w:color w:val="1B1B1F"/>
          <w:sz w:val="22"/>
        </w:rPr>
        <w:t>Table 9. Inputs and how much to trust them</w:t>
      </w:r>
    </w:p>
    <w:p>
      <w:pPr>
        <w:spacing w:after="120"/>
      </w:pPr>
      <w:r>
        <w:rPr>
          <w:i/>
          <w:color w:val="6E6E78"/>
          <w:sz w:val="17"/>
        </w:rPr>
        <w:t>Tags follow 00_inputs.R.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896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b/>
                <w:sz w:val="18"/>
              </w:rPr>
              <w:t>Tag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GLOBOCAN 2024, Bangladesh, new female breast cancer cases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8"/>
              </w:rPr>
              <w:t>9,480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GLOBOCAN 2024, Bangladesh, breast cancer deaths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8"/>
              </w:rPr>
              <w:t>4,211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GLOBOCAN 2024, Bangladesh, 5-year prevalence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8"/>
              </w:rPr>
              <w:t>23,625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Bangladesh female population, 2024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8"/>
              </w:rPr>
              <w:t>88,218,713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Women aged 20–29 (denominator)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8"/>
              </w:rPr>
              <w:t>~15.0 million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8"/>
              </w:rPr>
              <w:t>APPROX (UN WPP)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Hospital study sizes (n)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8"/>
              </w:rPr>
              <w:t>34 / 50 / 276 / …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8"/>
              </w:rPr>
              <w:t>VERIFIED for 3 of 6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Hospital under-30 counts (x)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8"/>
              </w:rPr>
              <w:t>constructed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8"/>
              </w:rPr>
              <w:t>ILLUSTRATIVE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Regional registry shares under 30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8"/>
              </w:rPr>
              <w:t>1.8%, 2.2%, 1.3%, 2.0%, 1.2%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8"/>
              </w:rPr>
              <w:t>APPROX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Referral tilt prior (odds ratio)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8"/>
              </w:rPr>
              <w:t>2.1 (SD 0.24 on log scale)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8"/>
              </w:rPr>
              <w:t>APPROX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Uncertainty on GLOBOCAN's national total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8"/>
              </w:rPr>
              <w:t>25% CV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8"/>
              </w:rPr>
              <w:t>ASSUMPTION</w:t>
            </w:r>
          </w:p>
        </w:tc>
      </w:tr>
    </w:tbl>
    <w:p>
      <w:pPr>
        <w:spacing w:after="80"/>
      </w:pPr>
      <w:r>
        <w:rPr>
          <w:i/>
          <w:color w:val="6E6E78"/>
          <w:sz w:val="16"/>
        </w:rPr>
        <w:t>IARC's own incidence footnote for Bangladesh: "Rates based on incidence estimates or registry data from neighbouring countries." Its prevalence footnote derives Bangladeshi figures from Nordic ratios scaled by Human Development Index.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