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${company.bp}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${company.nif</w:t>
      </w:r>
      <w:r w:rsidR="00C71E8E" w:rsidRPr="00C520AE">
        <w:rPr>
          <w:rFonts w:ascii="Times New Roman" w:hAnsi="Times New Roman"/>
          <w:b/>
          <w:sz w:val="16"/>
          <w:szCs w:val="16"/>
        </w:rPr>
        <w:t>}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${company.denomination}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$</w:t>
      </w:r>
      <w:r w:rsidRPr="0004064D">
        <w:rPr>
          <w:rFonts w:ascii="Times New Roman" w:hAnsi="Times New Roman"/>
          <w:sz w:val="16"/>
          <w:szCs w:val="16"/>
        </w:rPr>
        <w:t>{verbal_trial.civility}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 xml:space="preserve">${representative_phone_number},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A64B1C" w:rsidRPr="00C520AE">
        <w:rPr>
          <w:rFonts w:ascii="Times New Roman" w:hAnsi="Times New Roman"/>
          <w:b/>
          <w:sz w:val="16"/>
          <w:szCs w:val="16"/>
        </w:rPr>
        <w:t>}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F75F11">
        <w:rPr>
          <w:rFonts w:ascii="Times New Roman" w:hAnsi="Times New Roman"/>
          <w:b/>
          <w:sz w:val="16"/>
          <w:szCs w:val="16"/>
        </w:rPr>
        <w:t>.fr</w:t>
      </w:r>
      <w:r w:rsidR="00F75F11" w:rsidRPr="00C520AE">
        <w:rPr>
          <w:rFonts w:ascii="Times New Roman" w:hAnsi="Times New Roman"/>
          <w:b/>
          <w:sz w:val="16"/>
          <w:szCs w:val="16"/>
        </w:rPr>
        <w:t>}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${taux_mensuel} % mensuel soit ${verbal_trial.tax_fee_interest_rate}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frais_dossier}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C520AE">
        <w:rPr>
          <w:rFonts w:ascii="Times New Roman" w:hAnsi="Times New Roman"/>
          <w:b/>
          <w:sz w:val="16"/>
          <w:szCs w:val="16"/>
        </w:rPr>
        <w:t>}%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C520A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</w:t>
      </w:r>
      <w:r w:rsidR="00DA7EAE">
        <w:rPr>
          <w:rFonts w:ascii="Times New Roman" w:hAnsi="Times New Roman"/>
          <w:b/>
          <w:bCs/>
          <w:sz w:val="16"/>
          <w:szCs w:val="16"/>
        </w:rPr>
        <w:t>.fr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}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${</w:t>
      </w:r>
      <w:r w:rsidR="00DA7EAE" w:rsidRPr="00C41AD3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DA7EAE" w:rsidRPr="00C41AD3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lastRenderedPageBreak/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${current_date}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C2831" w14:textId="77777777" w:rsidR="00095FE8" w:rsidRDefault="00095FE8">
      <w:pPr>
        <w:spacing w:after="0" w:line="240" w:lineRule="auto"/>
      </w:pPr>
      <w:r>
        <w:separator/>
      </w:r>
    </w:p>
  </w:endnote>
  <w:endnote w:type="continuationSeparator" w:id="0">
    <w:p w14:paraId="768887AE" w14:textId="77777777" w:rsidR="00095FE8" w:rsidRDefault="0009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3A76" w14:textId="77777777" w:rsidR="00095FE8" w:rsidRDefault="00095F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54CB76" w14:textId="77777777" w:rsidR="00095FE8" w:rsidRDefault="0009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14</cp:revision>
  <cp:lastPrinted>2025-08-14T09:42:00Z</cp:lastPrinted>
  <dcterms:created xsi:type="dcterms:W3CDTF">2025-08-14T09:43:00Z</dcterms:created>
  <dcterms:modified xsi:type="dcterms:W3CDTF">2025-08-27T11:58:00Z</dcterms:modified>
</cp:coreProperties>
</file>