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BE0B76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BE0B76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BE0B76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 w:rsidRPr="00BE0B76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BE0B76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>ENTRE-LES</w:t>
      </w:r>
      <w:r w:rsidR="00351AD2" w:rsidRPr="00BE0B76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BE0B76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BE0B76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BE0B76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BE0B76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BE0B76">
        <w:rPr>
          <w:rFonts w:ascii="Times New Roman" w:hAnsi="Times New Roman"/>
          <w:sz w:val="16"/>
          <w:szCs w:val="16"/>
        </w:rPr>
        <w:t>en abrégé</w:t>
      </w:r>
      <w:r w:rsidRPr="00BE0B76">
        <w:rPr>
          <w:rFonts w:ascii="Times New Roman" w:hAnsi="Times New Roman"/>
          <w:sz w:val="16"/>
          <w:szCs w:val="16"/>
        </w:rPr>
        <w:t>e</w:t>
      </w:r>
      <w:r w:rsidR="00351AD2" w:rsidRPr="00BE0B76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BE0B76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BE0B76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BE0B76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BE0B76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BE0B76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BE0B76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BE0B76">
        <w:rPr>
          <w:rFonts w:ascii="Times New Roman" w:hAnsi="Times New Roman"/>
          <w:sz w:val="16"/>
          <w:szCs w:val="16"/>
        </w:rPr>
        <w:t>),</w:t>
      </w:r>
      <w:r w:rsidR="00351AD2" w:rsidRPr="00BE0B76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BE0B76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BE0B76">
        <w:rPr>
          <w:rFonts w:ascii="Times New Roman" w:hAnsi="Times New Roman"/>
          <w:sz w:val="16"/>
          <w:szCs w:val="16"/>
        </w:rPr>
        <w:t xml:space="preserve">, NIF : </w:t>
      </w:r>
      <w:r w:rsidR="00351AD2" w:rsidRPr="00BE0B76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BE0B76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b/>
          <w:bCs/>
          <w:sz w:val="16"/>
          <w:szCs w:val="16"/>
        </w:rPr>
        <w:t>COFINA Gabon</w:t>
      </w:r>
      <w:r w:rsidRPr="00BE0B76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BE0B76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BE0B76">
        <w:rPr>
          <w:rFonts w:ascii="Times New Roman" w:hAnsi="Times New Roman"/>
          <w:b/>
          <w:sz w:val="16"/>
          <w:szCs w:val="16"/>
        </w:rPr>
        <w:t>Jenny MVOU</w:t>
      </w:r>
      <w:r w:rsidR="0035665B" w:rsidRPr="00BE0B76">
        <w:rPr>
          <w:rFonts w:ascii="Times New Roman" w:hAnsi="Times New Roman"/>
          <w:bCs/>
          <w:sz w:val="16"/>
          <w:szCs w:val="16"/>
        </w:rPr>
        <w:t>, s</w:t>
      </w:r>
      <w:r w:rsidR="0010223A" w:rsidRPr="00BE0B76">
        <w:rPr>
          <w:rFonts w:ascii="Times New Roman" w:hAnsi="Times New Roman"/>
          <w:bCs/>
          <w:sz w:val="16"/>
          <w:szCs w:val="16"/>
        </w:rPr>
        <w:t>a</w:t>
      </w:r>
      <w:r w:rsidR="0035665B" w:rsidRPr="00BE0B76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 w:rsidRPr="00BE0B76">
        <w:rPr>
          <w:rFonts w:ascii="Times New Roman" w:hAnsi="Times New Roman"/>
          <w:bCs/>
          <w:sz w:val="16"/>
          <w:szCs w:val="16"/>
        </w:rPr>
        <w:t>ice</w:t>
      </w:r>
      <w:r w:rsidR="0035665B" w:rsidRPr="00BE0B76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 w:rsidRPr="00BE0B76">
        <w:rPr>
          <w:rFonts w:ascii="Times New Roman" w:hAnsi="Times New Roman"/>
          <w:bCs/>
          <w:sz w:val="16"/>
          <w:szCs w:val="16"/>
        </w:rPr>
        <w:t>e</w:t>
      </w:r>
      <w:r w:rsidR="0035665B" w:rsidRPr="00BE0B76">
        <w:rPr>
          <w:rFonts w:ascii="Times New Roman" w:hAnsi="Times New Roman"/>
          <w:bCs/>
          <w:sz w:val="16"/>
          <w:szCs w:val="16"/>
        </w:rPr>
        <w:t xml:space="preserve"> Adjointe</w:t>
      </w:r>
      <w:r w:rsidRPr="00BE0B76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BE0B76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>Ci-après dénommée le «</w:t>
      </w:r>
      <w:r w:rsidRPr="00BE0B76">
        <w:rPr>
          <w:rFonts w:ascii="Times New Roman" w:hAnsi="Times New Roman"/>
          <w:b/>
          <w:sz w:val="16"/>
          <w:szCs w:val="16"/>
        </w:rPr>
        <w:t xml:space="preserve"> Prêteur</w:t>
      </w:r>
      <w:r w:rsidRPr="00BE0B76">
        <w:rPr>
          <w:rFonts w:ascii="Times New Roman" w:hAnsi="Times New Roman"/>
          <w:sz w:val="16"/>
          <w:szCs w:val="16"/>
        </w:rPr>
        <w:t xml:space="preserve"> » ou « </w:t>
      </w:r>
      <w:r w:rsidRPr="00BE0B76">
        <w:rPr>
          <w:rFonts w:ascii="Times New Roman" w:hAnsi="Times New Roman"/>
          <w:b/>
          <w:sz w:val="16"/>
          <w:szCs w:val="16"/>
        </w:rPr>
        <w:t>COFINA Gabon</w:t>
      </w:r>
      <w:r w:rsidR="00A503D7" w:rsidRPr="00BE0B76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E0B76">
        <w:rPr>
          <w:rFonts w:ascii="Times New Roman" w:hAnsi="Times New Roman"/>
          <w:b/>
          <w:bCs/>
          <w:sz w:val="16"/>
          <w:szCs w:val="16"/>
        </w:rPr>
        <w:t>SA</w:t>
      </w:r>
      <w:r w:rsidRPr="00BE0B76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BE0B76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BE0B76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BE0B76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BE0B76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BE0B76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607FA3F2" w:rsidR="008E086B" w:rsidRPr="00BE0B76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9449245"/>
      <w:bookmarkStart w:id="1" w:name="_Hlk185340788"/>
      <w:bookmarkStart w:id="2" w:name="_Hlk178180060"/>
      <w:r w:rsidRPr="00BE0B7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BE0B76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BE0B76">
        <w:rPr>
          <w:rFonts w:ascii="Times New Roman" w:hAnsi="Times New Roman"/>
          <w:b/>
          <w:sz w:val="16"/>
          <w:szCs w:val="16"/>
        </w:rPr>
        <w:t>}</w:t>
      </w:r>
      <w:bookmarkEnd w:id="0"/>
      <w:r w:rsidRPr="00BE0B76">
        <w:rPr>
          <w:rFonts w:ascii="Times New Roman" w:hAnsi="Times New Roman"/>
          <w:b/>
          <w:sz w:val="16"/>
          <w:szCs w:val="16"/>
        </w:rPr>
        <w:t>,</w:t>
      </w:r>
      <w:r w:rsidRPr="00BE0B76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BE0B76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E0B76">
        <w:rPr>
          <w:rFonts w:ascii="Times New Roman" w:hAnsi="Times New Roman"/>
          <w:b/>
          <w:bCs/>
          <w:sz w:val="16"/>
          <w:szCs w:val="16"/>
        </w:rPr>
        <w:t>company.legal</w:t>
      </w:r>
      <w:proofErr w:type="gramEnd"/>
      <w:r w:rsidRPr="00BE0B76">
        <w:rPr>
          <w:rFonts w:ascii="Times New Roman" w:hAnsi="Times New Roman"/>
          <w:b/>
          <w:bCs/>
          <w:sz w:val="16"/>
          <w:szCs w:val="16"/>
        </w:rPr>
        <w:t>_status</w:t>
      </w:r>
      <w:proofErr w:type="spellEnd"/>
      <w:r w:rsidRPr="00BE0B76">
        <w:rPr>
          <w:rFonts w:ascii="Times New Roman" w:hAnsi="Times New Roman"/>
          <w:b/>
          <w:bCs/>
          <w:sz w:val="16"/>
          <w:szCs w:val="16"/>
        </w:rPr>
        <w:t>}</w:t>
      </w:r>
      <w:bookmarkEnd w:id="3"/>
      <w:r w:rsidRPr="00BE0B7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E0B76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E0B76">
        <w:rPr>
          <w:rFonts w:ascii="Times New Roman" w:hAnsi="Times New Roman"/>
          <w:b/>
          <w:bCs/>
          <w:sz w:val="16"/>
          <w:szCs w:val="16"/>
        </w:rPr>
        <w:t>company.head</w:t>
      </w:r>
      <w:proofErr w:type="gramEnd"/>
      <w:r w:rsidRPr="00BE0B76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Pr="00BE0B76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BE0B76">
        <w:rPr>
          <w:rFonts w:ascii="Times New Roman" w:hAnsi="Times New Roman"/>
          <w:sz w:val="16"/>
          <w:szCs w:val="16"/>
        </w:rPr>
        <w:t xml:space="preserve">BP : </w:t>
      </w:r>
      <w:r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E0B76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proofErr w:type="gramEnd"/>
      <w:r w:rsidRPr="00BE0B76">
        <w:rPr>
          <w:rFonts w:ascii="Times New Roman" w:hAnsi="Times New Roman"/>
          <w:b/>
          <w:bCs/>
          <w:sz w:val="16"/>
          <w:szCs w:val="16"/>
        </w:rPr>
        <w:t>},</w:t>
      </w:r>
      <w:r w:rsidRPr="00BE0B76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E0B76">
        <w:rPr>
          <w:rFonts w:ascii="Times New Roman" w:hAnsi="Times New Roman"/>
          <w:b/>
          <w:bCs/>
          <w:sz w:val="16"/>
          <w:szCs w:val="16"/>
        </w:rPr>
        <w:t>company.rccm</w:t>
      </w:r>
      <w:proofErr w:type="gramEnd"/>
      <w:r w:rsidRPr="00BE0B76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Pr="00BE0B76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BE0B76">
        <w:rPr>
          <w:rFonts w:ascii="Times New Roman" w:hAnsi="Times New Roman"/>
          <w:sz w:val="16"/>
          <w:szCs w:val="16"/>
        </w:rPr>
        <w:t>NIF </w:t>
      </w:r>
      <w:r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E0B76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="00C71E8E" w:rsidRPr="00BE0B76">
        <w:rPr>
          <w:rFonts w:ascii="Times New Roman" w:hAnsi="Times New Roman"/>
          <w:b/>
          <w:sz w:val="16"/>
          <w:szCs w:val="16"/>
        </w:rPr>
        <w:t>}</w:t>
      </w:r>
    </w:p>
    <w:p w14:paraId="0070031B" w14:textId="47CA4F1B" w:rsidR="005049AC" w:rsidRPr="00BE0B76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 xml:space="preserve">La société </w:t>
      </w:r>
      <w:r w:rsidRPr="00BE0B7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BE0B76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BE0B76">
        <w:rPr>
          <w:rFonts w:ascii="Times New Roman" w:hAnsi="Times New Roman"/>
          <w:b/>
          <w:sz w:val="16"/>
          <w:szCs w:val="16"/>
        </w:rPr>
        <w:t xml:space="preserve">} </w:t>
      </w:r>
      <w:r w:rsidRPr="00BE0B76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81197905"/>
      <w:bookmarkStart w:id="5" w:name="_Hlk183001745"/>
      <w:bookmarkStart w:id="6" w:name="_Hlk177460636"/>
      <w:r w:rsidRPr="00BE0B76">
        <w:rPr>
          <w:rFonts w:ascii="Times New Roman" w:hAnsi="Times New Roman"/>
          <w:sz w:val="16"/>
          <w:szCs w:val="16"/>
        </w:rPr>
        <w:t xml:space="preserve">par  </w:t>
      </w:r>
      <w:bookmarkEnd w:id="4"/>
      <w:bookmarkEnd w:id="5"/>
      <w:r w:rsidR="00BE0B76" w:rsidRPr="00BE0B76">
        <w:rPr>
          <w:rFonts w:ascii="Times New Roman" w:hAnsi="Times New Roman"/>
          <w:sz w:val="16"/>
          <w:szCs w:val="16"/>
        </w:rPr>
        <w:t>Mr/Mme</w:t>
      </w:r>
      <w:r w:rsidR="00BE0B76" w:rsidRPr="00BE0B76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BE0B76" w:rsidRPr="00BE0B76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BE0B76" w:rsidRPr="00BE0B7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BE0B76" w:rsidRPr="00BE0B76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BE0B76" w:rsidRPr="00BE0B76">
        <w:rPr>
          <w:rFonts w:ascii="Times New Roman" w:hAnsi="Times New Roman"/>
          <w:b/>
          <w:bCs/>
          <w:sz w:val="16"/>
          <w:szCs w:val="16"/>
        </w:rPr>
        <w:t xml:space="preserve">} </w:t>
      </w:r>
      <w:bookmarkStart w:id="7" w:name="_Hlk177460469"/>
      <w:r w:rsidR="00BE0B76" w:rsidRPr="00BE0B7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E0B76" w:rsidRPr="00BE0B76">
        <w:rPr>
          <w:rFonts w:ascii="Times New Roman" w:hAnsi="Times New Roman"/>
          <w:sz w:val="16"/>
          <w:szCs w:val="16"/>
        </w:rPr>
        <w:t>né(e) le</w:t>
      </w:r>
      <w:r w:rsidR="00BE0B76" w:rsidRPr="00BE0B76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BE0B76" w:rsidRPr="00BE0B76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="00BE0B76" w:rsidRPr="00BE0B76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="00BE0B76" w:rsidRPr="00BE0B76">
        <w:rPr>
          <w:rFonts w:ascii="Times New Roman" w:hAnsi="Times New Roman"/>
          <w:sz w:val="16"/>
          <w:szCs w:val="16"/>
        </w:rPr>
        <w:t xml:space="preserve"> à</w:t>
      </w:r>
      <w:r w:rsidR="00370BCC">
        <w:rPr>
          <w:rFonts w:ascii="Times New Roman" w:hAnsi="Times New Roman"/>
          <w:sz w:val="16"/>
          <w:szCs w:val="16"/>
        </w:rPr>
        <w:t>/au</w:t>
      </w:r>
      <w:r w:rsidR="00BE0B76" w:rsidRPr="00BE0B76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8" w:name="_Hlk177460521"/>
      <w:r w:rsidR="00BE0B76"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E0B76" w:rsidRPr="00BE0B76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BE0B76" w:rsidRPr="00BE0B76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8"/>
      <w:r w:rsidR="00BE0B76" w:rsidRPr="00BE0B76">
        <w:rPr>
          <w:rFonts w:ascii="Times New Roman" w:hAnsi="Times New Roman"/>
          <w:sz w:val="16"/>
          <w:szCs w:val="16"/>
        </w:rPr>
        <w:t xml:space="preserve"> titulaire du/de la </w:t>
      </w:r>
      <w:bookmarkStart w:id="9" w:name="_Hlk181197954"/>
      <w:r w:rsidR="00BE0B76" w:rsidRPr="00BE0B76">
        <w:rPr>
          <w:rFonts w:ascii="Times New Roman" w:hAnsi="Times New Roman"/>
          <w:b/>
          <w:bCs/>
          <w:sz w:val="16"/>
          <w:szCs w:val="16"/>
        </w:rPr>
        <w:t xml:space="preserve">passeport /carte nationale d’identité /carte de séjour/récépissé </w:t>
      </w:r>
      <w:r w:rsidR="00BE0B76" w:rsidRPr="00BE0B76">
        <w:rPr>
          <w:rFonts w:ascii="Times New Roman" w:hAnsi="Times New Roman"/>
          <w:sz w:val="16"/>
          <w:szCs w:val="16"/>
        </w:rPr>
        <w:t>N</w:t>
      </w:r>
      <w:r w:rsidR="00BE0B76" w:rsidRPr="00BE0B76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="00BE0B76" w:rsidRPr="00BE0B76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="00BE0B76" w:rsidRPr="00BE0B76">
        <w:rPr>
          <w:rFonts w:ascii="Times New Roman" w:hAnsi="Times New Roman"/>
          <w:b/>
          <w:bCs/>
          <w:sz w:val="16"/>
          <w:szCs w:val="16"/>
        </w:rPr>
        <w:t>}</w:t>
      </w:r>
      <w:bookmarkEnd w:id="9"/>
      <w:r w:rsidR="00BE0B76" w:rsidRPr="00BE0B7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E0B76" w:rsidRPr="00BE0B76">
        <w:rPr>
          <w:rFonts w:ascii="Times New Roman" w:hAnsi="Times New Roman"/>
          <w:sz w:val="16"/>
          <w:szCs w:val="16"/>
        </w:rPr>
        <w:t xml:space="preserve">délivré(e) le </w:t>
      </w:r>
      <w:bookmarkStart w:id="10" w:name="_Hlk184025490"/>
      <w:r w:rsidR="00BE0B76"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E0B76" w:rsidRPr="00BE0B76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="00BE0B76" w:rsidRPr="00BE0B76">
        <w:rPr>
          <w:rFonts w:ascii="Times New Roman" w:hAnsi="Times New Roman"/>
          <w:b/>
          <w:bCs/>
          <w:sz w:val="16"/>
          <w:szCs w:val="16"/>
        </w:rPr>
        <w:t>}</w:t>
      </w:r>
      <w:r w:rsidR="00BE0B76" w:rsidRPr="00BE0B76">
        <w:rPr>
          <w:rFonts w:ascii="Times New Roman" w:hAnsi="Times New Roman"/>
          <w:sz w:val="16"/>
          <w:szCs w:val="16"/>
        </w:rPr>
        <w:t xml:space="preserve"> </w:t>
      </w:r>
      <w:bookmarkEnd w:id="10"/>
      <w:r w:rsidR="00BE0B76" w:rsidRPr="00BE0B76">
        <w:rPr>
          <w:rFonts w:ascii="Times New Roman" w:hAnsi="Times New Roman"/>
          <w:sz w:val="16"/>
          <w:szCs w:val="16"/>
        </w:rPr>
        <w:t xml:space="preserve">par </w:t>
      </w:r>
      <w:r w:rsidR="00BE0B76"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E0B76" w:rsidRPr="00BE0B76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="00BE0B76" w:rsidRPr="00BE0B76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="00254D9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E0B76" w:rsidRPr="00BE0B76">
        <w:rPr>
          <w:rFonts w:ascii="Times New Roman" w:hAnsi="Times New Roman"/>
          <w:sz w:val="16"/>
          <w:szCs w:val="16"/>
        </w:rPr>
        <w:t xml:space="preserve">domicilié(e) à/au </w:t>
      </w:r>
      <w:r w:rsidR="00BE0B76"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BE0B76" w:rsidRPr="00BE0B76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="00BE0B76" w:rsidRPr="00BE0B76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BE0B76">
        <w:rPr>
          <w:rFonts w:ascii="Times New Roman" w:hAnsi="Times New Roman"/>
          <w:b/>
          <w:sz w:val="16"/>
          <w:szCs w:val="16"/>
        </w:rPr>
        <w:t xml:space="preserve"> </w:t>
      </w:r>
      <w:r w:rsidRPr="00BE0B76">
        <w:rPr>
          <w:rFonts w:ascii="Times New Roman" w:hAnsi="Times New Roman"/>
          <w:sz w:val="16"/>
          <w:szCs w:val="16"/>
        </w:rPr>
        <w:t xml:space="preserve">et répondant au </w:t>
      </w:r>
      <w:bookmarkEnd w:id="6"/>
      <w:r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E0B76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Pr="00BE0B7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="005049AC" w:rsidRPr="00BE0B76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2"/>
    <w:p w14:paraId="101375A1" w14:textId="77777777" w:rsidR="00CD6BF5" w:rsidRPr="00BE0B76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 xml:space="preserve">Ci-après désigné le « </w:t>
      </w:r>
      <w:r w:rsidRPr="00BE0B76">
        <w:rPr>
          <w:rFonts w:ascii="Times New Roman" w:hAnsi="Times New Roman"/>
          <w:b/>
          <w:bCs/>
          <w:sz w:val="16"/>
          <w:szCs w:val="16"/>
        </w:rPr>
        <w:t>le Constituant</w:t>
      </w:r>
      <w:r w:rsidRPr="00BE0B76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BE0B76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BE0B76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 w:rsidRPr="00BE0B76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BE0B76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>Ci-après dénommées collectivement "</w:t>
      </w:r>
      <w:r w:rsidRPr="00BE0B76">
        <w:rPr>
          <w:rFonts w:ascii="Times New Roman" w:hAnsi="Times New Roman"/>
          <w:b/>
          <w:sz w:val="16"/>
          <w:szCs w:val="16"/>
        </w:rPr>
        <w:t>Les Parties</w:t>
      </w:r>
      <w:r w:rsidRPr="00BE0B76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BE0B76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BE0B76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Pr="00BE0B76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BE0B76">
        <w:rPr>
          <w:rFonts w:ascii="Times New Roman" w:hAnsi="Times New Roman"/>
          <w:b/>
          <w:sz w:val="16"/>
          <w:szCs w:val="16"/>
        </w:rPr>
        <w:t xml:space="preserve">u </w:t>
      </w:r>
      <w:r w:rsidR="009432F8" w:rsidRPr="00BE0B76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BE0B76">
        <w:rPr>
          <w:rFonts w:ascii="Times New Roman" w:hAnsi="Times New Roman"/>
          <w:b/>
          <w:sz w:val="16"/>
          <w:szCs w:val="16"/>
        </w:rPr>
        <w:t xml:space="preserve"> d</w:t>
      </w:r>
      <w:r w:rsidR="00351EB6" w:rsidRPr="00BE0B76">
        <w:rPr>
          <w:rFonts w:ascii="Times New Roman" w:hAnsi="Times New Roman"/>
          <w:b/>
          <w:sz w:val="16"/>
          <w:szCs w:val="16"/>
        </w:rPr>
        <w:t>e</w:t>
      </w:r>
      <w:r w:rsidR="006D7470" w:rsidRPr="00BE0B76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proofErr w:type="gramStart"/>
      <w:r w:rsidR="006D7470" w:rsidRPr="00BE0B76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6D7470" w:rsidRPr="00BE0B76">
        <w:rPr>
          <w:rFonts w:ascii="Times New Roman" w:hAnsi="Times New Roman"/>
          <w:b/>
          <w:sz w:val="16"/>
          <w:szCs w:val="16"/>
        </w:rPr>
        <w:t>}</w:t>
      </w:r>
      <w:r w:rsidRPr="00BE0B76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 w:rsidRPr="00BE0B76">
        <w:rPr>
          <w:rFonts w:ascii="Times New Roman" w:hAnsi="Times New Roman"/>
          <w:b/>
          <w:sz w:val="16"/>
          <w:szCs w:val="16"/>
        </w:rPr>
        <w:t>de</w:t>
      </w:r>
      <w:r w:rsidR="009075CE" w:rsidRPr="00BE0B76">
        <w:rPr>
          <w:rFonts w:ascii="Times New Roman" w:hAnsi="Times New Roman"/>
          <w:b/>
          <w:sz w:val="16"/>
          <w:szCs w:val="16"/>
        </w:rPr>
        <w:t xml:space="preserve"> </w:t>
      </w:r>
      <w:bookmarkStart w:id="11" w:name="_Hlk206059724"/>
      <w:r w:rsidR="006D7470" w:rsidRPr="00BE0B7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6D7470" w:rsidRPr="00BE0B76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6D7470" w:rsidRPr="00BE0B76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6D7470" w:rsidRPr="00BE0B76">
        <w:rPr>
          <w:rFonts w:ascii="Times New Roman" w:hAnsi="Times New Roman"/>
          <w:b/>
          <w:sz w:val="16"/>
          <w:szCs w:val="16"/>
        </w:rPr>
        <w:t xml:space="preserve">} </w:t>
      </w:r>
      <w:r w:rsidR="009075CE" w:rsidRPr="00BE0B76">
        <w:rPr>
          <w:rFonts w:ascii="Times New Roman" w:hAnsi="Times New Roman"/>
          <w:b/>
          <w:sz w:val="16"/>
          <w:szCs w:val="16"/>
        </w:rPr>
        <w:t xml:space="preserve">FCFA </w:t>
      </w:r>
      <w:bookmarkEnd w:id="11"/>
      <w:r w:rsidR="009075CE" w:rsidRPr="00BE0B76">
        <w:rPr>
          <w:rFonts w:ascii="Times New Roman" w:hAnsi="Times New Roman"/>
          <w:b/>
          <w:sz w:val="16"/>
          <w:szCs w:val="16"/>
        </w:rPr>
        <w:t>dont</w:t>
      </w:r>
      <w:r w:rsidRPr="00BE0B76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BE0B76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BE0B76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BE0B76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BE0B76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BE0B76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BE0B76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BE0B7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75F11" w:rsidRPr="00BE0B76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F75F11" w:rsidRPr="00BE0B76">
        <w:rPr>
          <w:rFonts w:ascii="Times New Roman" w:hAnsi="Times New Roman"/>
          <w:b/>
          <w:sz w:val="16"/>
          <w:szCs w:val="16"/>
        </w:rPr>
        <w:t xml:space="preserve">} </w:t>
      </w:r>
      <w:r w:rsidR="009075CE" w:rsidRPr="00BE0B76">
        <w:rPr>
          <w:rFonts w:ascii="Times New Roman" w:hAnsi="Times New Roman"/>
          <w:sz w:val="16"/>
          <w:szCs w:val="16"/>
        </w:rPr>
        <w:t>susmentionnée,</w:t>
      </w:r>
      <w:r w:rsidRPr="00BE0B76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BE0B76">
        <w:rPr>
          <w:rFonts w:ascii="Times New Roman" w:hAnsi="Times New Roman"/>
          <w:sz w:val="16"/>
          <w:szCs w:val="16"/>
        </w:rPr>
        <w:t xml:space="preserve">de </w:t>
      </w:r>
      <w:r w:rsidR="00F75F11" w:rsidRPr="00BE0B7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75F11" w:rsidRPr="00BE0B76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F75F11" w:rsidRPr="00BE0B76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A64B1C" w:rsidRPr="00BE0B76">
        <w:rPr>
          <w:rFonts w:ascii="Times New Roman" w:hAnsi="Times New Roman"/>
          <w:b/>
          <w:sz w:val="16"/>
          <w:szCs w:val="16"/>
        </w:rPr>
        <w:t>} FCFA</w:t>
      </w:r>
      <w:r w:rsidR="005049AC" w:rsidRPr="00BE0B76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BE0B76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BE0B76">
        <w:rPr>
          <w:rFonts w:ascii="Times New Roman" w:hAnsi="Times New Roman"/>
          <w:b/>
          <w:sz w:val="16"/>
          <w:szCs w:val="16"/>
        </w:rPr>
        <w:t>${verbal_trial.amount.fr}</w:t>
      </w:r>
      <w:r w:rsidR="009075CE" w:rsidRPr="00BE0B76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BE0B76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BE0B76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>Montant </w:t>
      </w:r>
      <w:r w:rsidR="002D79F2" w:rsidRPr="00BE0B7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D79F2" w:rsidRPr="00BE0B76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2D79F2" w:rsidRPr="00BE0B76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2D79F2" w:rsidRPr="00BE0B76">
        <w:rPr>
          <w:rFonts w:ascii="Times New Roman" w:hAnsi="Times New Roman"/>
          <w:b/>
          <w:sz w:val="16"/>
          <w:szCs w:val="16"/>
        </w:rPr>
        <w:t>}</w:t>
      </w:r>
      <w:r w:rsidRPr="00BE0B76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261D4A97" w:rsidR="005049AC" w:rsidRPr="00BE0B76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>Durée :</w:t>
      </w:r>
      <w:r w:rsidR="00BE0B76" w:rsidRPr="00BE0B76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BE0B76" w:rsidRPr="00BE0B76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BE0B76" w:rsidRPr="00BE0B76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BE0B76" w:rsidRPr="00BE0B76">
        <w:rPr>
          <w:rFonts w:ascii="Times New Roman" w:hAnsi="Times New Roman"/>
          <w:b/>
          <w:sz w:val="16"/>
          <w:szCs w:val="16"/>
        </w:rPr>
        <w:t xml:space="preserve">} </w:t>
      </w:r>
      <w:r w:rsidRPr="00BE0B76">
        <w:rPr>
          <w:rFonts w:ascii="Times New Roman" w:hAnsi="Times New Roman"/>
          <w:b/>
          <w:sz w:val="16"/>
          <w:szCs w:val="16"/>
        </w:rPr>
        <w:t>mois</w:t>
      </w:r>
    </w:p>
    <w:p w14:paraId="19FFE980" w14:textId="19CCDCDD" w:rsidR="002D79F2" w:rsidRPr="00BE0B76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>Taux : ${</w:t>
      </w:r>
      <w:proofErr w:type="spellStart"/>
      <w:r w:rsidRPr="00BE0B76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Pr="00BE0B76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BE0B76">
        <w:rPr>
          <w:rFonts w:ascii="Times New Roman" w:hAnsi="Times New Roman"/>
          <w:b/>
          <w:sz w:val="16"/>
          <w:szCs w:val="16"/>
        </w:rPr>
        <w:t>verbal_trial.tax_fee_interest_</w:t>
      </w:r>
      <w:proofErr w:type="gramStart"/>
      <w:r w:rsidRPr="00BE0B76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Pr="00BE0B76">
        <w:rPr>
          <w:rFonts w:ascii="Times New Roman" w:hAnsi="Times New Roman"/>
          <w:b/>
          <w:sz w:val="16"/>
          <w:szCs w:val="16"/>
        </w:rPr>
        <w:t>}</w:t>
      </w:r>
      <w:r w:rsidR="006927D7" w:rsidRPr="00BE0B76">
        <w:rPr>
          <w:rFonts w:ascii="Times New Roman" w:hAnsi="Times New Roman"/>
          <w:b/>
          <w:sz w:val="16"/>
          <w:szCs w:val="16"/>
        </w:rPr>
        <w:t>%</w:t>
      </w:r>
      <w:proofErr w:type="gramEnd"/>
      <w:r w:rsidRPr="00BE0B76">
        <w:rPr>
          <w:rFonts w:ascii="Times New Roman" w:hAnsi="Times New Roman"/>
          <w:b/>
          <w:sz w:val="16"/>
          <w:szCs w:val="16"/>
        </w:rPr>
        <w:t xml:space="preserve">  annuel</w:t>
      </w:r>
    </w:p>
    <w:p w14:paraId="32E65DC2" w14:textId="09AD80FC" w:rsidR="005049AC" w:rsidRPr="00BE0B76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BE0B76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BE0B76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Pr="00BE0B76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BE0B76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BE0B76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Pr="00BE0B76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Pr="00BE0B76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Pr="00BE0B76">
        <w:rPr>
          <w:rFonts w:ascii="Times New Roman" w:hAnsi="Times New Roman"/>
          <w:b/>
          <w:sz w:val="16"/>
          <w:szCs w:val="16"/>
        </w:rPr>
        <w:t>}%</w:t>
      </w:r>
      <w:proofErr w:type="gramEnd"/>
      <w:r w:rsidR="005049AC" w:rsidRPr="00BE0B76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Pr="00BE0B76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>Frais d’assurance : ${</w:t>
      </w:r>
      <w:proofErr w:type="spellStart"/>
      <w:r w:rsidRPr="00BE0B76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BE0B76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Pr="00BE0B76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Pr="00BE0B76">
        <w:rPr>
          <w:rFonts w:ascii="Times New Roman" w:hAnsi="Times New Roman"/>
          <w:b/>
          <w:sz w:val="16"/>
          <w:szCs w:val="16"/>
        </w:rPr>
        <w:t>} FCFA soit 3%</w:t>
      </w:r>
    </w:p>
    <w:p w14:paraId="2067F9F3" w14:textId="77777777" w:rsidR="002D79F2" w:rsidRPr="00BE0B76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 w:rsidRPr="00BE0B76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BE0B76">
        <w:rPr>
          <w:rFonts w:ascii="Times New Roman" w:hAnsi="Times New Roman"/>
          <w:b/>
          <w:sz w:val="16"/>
          <w:szCs w:val="16"/>
        </w:rPr>
        <w:t>trial.frais</w:t>
      </w:r>
      <w:proofErr w:type="gramEnd"/>
      <w:r w:rsidRPr="00BE0B76"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 w:rsidRPr="00BE0B76">
        <w:rPr>
          <w:rFonts w:ascii="Times New Roman" w:hAnsi="Times New Roman"/>
          <w:b/>
          <w:sz w:val="16"/>
          <w:szCs w:val="16"/>
        </w:rPr>
        <w:t>} FCFA</w:t>
      </w:r>
    </w:p>
    <w:p w14:paraId="4FEC95C0" w14:textId="77777777" w:rsidR="002D79F2" w:rsidRPr="00BE0B76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BE0B76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BE0B76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BE0B76">
        <w:rPr>
          <w:rFonts w:ascii="Times New Roman" w:hAnsi="Times New Roman"/>
          <w:b/>
          <w:sz w:val="16"/>
          <w:szCs w:val="16"/>
        </w:rPr>
        <w:t>}.</w:t>
      </w:r>
    </w:p>
    <w:p w14:paraId="4239C29D" w14:textId="77777777" w:rsidR="002D79F2" w:rsidRPr="00BE0B76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BE0B76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BE0B76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BE0B76">
        <w:rPr>
          <w:rFonts w:ascii="Times New Roman" w:hAnsi="Times New Roman"/>
          <w:b/>
          <w:sz w:val="16"/>
          <w:szCs w:val="16"/>
        </w:rPr>
        <w:t>}</w:t>
      </w:r>
    </w:p>
    <w:p w14:paraId="383CA277" w14:textId="77777777" w:rsidR="005049AC" w:rsidRPr="00BE0B76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BE0B76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BE0B76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BE0B76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BE0B76">
        <w:rPr>
          <w:rFonts w:ascii="Times New Roman" w:hAnsi="Times New Roman"/>
          <w:b/>
          <w:sz w:val="16"/>
          <w:szCs w:val="16"/>
        </w:rPr>
        <w:t>CARACTERISTIQUES DU</w:t>
      </w:r>
      <w:r w:rsidR="009432F8" w:rsidRPr="00BE0B76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BE0B76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BE0B76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BE0B76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DA7EAE" w:rsidRPr="00BE0B76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DA7EAE" w:rsidRPr="00BE0B76">
        <w:rPr>
          <w:rFonts w:ascii="Times New Roman" w:hAnsi="Times New Roman"/>
          <w:b/>
          <w:bCs/>
          <w:sz w:val="16"/>
          <w:szCs w:val="16"/>
        </w:rPr>
        <w:t>}</w:t>
      </w:r>
      <w:r w:rsidR="005049AC" w:rsidRPr="00BE0B76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BE0B76">
        <w:rPr>
          <w:rFonts w:ascii="Times New Roman" w:hAnsi="Times New Roman"/>
          <w:b/>
          <w:bCs/>
          <w:sz w:val="16"/>
          <w:szCs w:val="16"/>
        </w:rPr>
        <w:t xml:space="preserve">${total_to_pay.fr} </w:t>
      </w:r>
      <w:r w:rsidR="005049AC" w:rsidRPr="00BE0B76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="00B41BAB" w:rsidRPr="00BE0B76">
        <w:rPr>
          <w:rFonts w:ascii="Times New Roman" w:hAnsi="Times New Roman"/>
          <w:sz w:val="16"/>
          <w:szCs w:val="16"/>
        </w:rPr>
        <w:t>destinée</w:t>
      </w:r>
      <w:r w:rsidR="00926704" w:rsidRPr="00BE0B76">
        <w:rPr>
          <w:rFonts w:ascii="Times New Roman" w:hAnsi="Times New Roman"/>
          <w:sz w:val="16"/>
          <w:szCs w:val="16"/>
        </w:rPr>
        <w:t xml:space="preserve"> </w:t>
      </w:r>
      <w:bookmarkStart w:id="12" w:name="_Hlk181201586"/>
      <w:r w:rsidR="00DA7EAE"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DA7EAE" w:rsidRPr="00BE0B76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DA7EAE" w:rsidRPr="00BE0B76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DA7EAE" w:rsidRPr="00BE0B76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proofErr w:type="gramStart"/>
      <w:r w:rsidR="00DA7EAE" w:rsidRPr="00BE0B76">
        <w:rPr>
          <w:rFonts w:ascii="Times New Roman" w:hAnsi="Times New Roman"/>
          <w:b/>
          <w:bCs/>
          <w:sz w:val="16"/>
          <w:szCs w:val="16"/>
        </w:rPr>
        <w:t>}</w:t>
      </w:r>
      <w:bookmarkEnd w:id="12"/>
      <w:r w:rsidR="005049AC" w:rsidRPr="00BE0B76">
        <w:rPr>
          <w:rFonts w:ascii="Times New Roman" w:hAnsi="Times New Roman"/>
          <w:bCs/>
          <w:sz w:val="16"/>
          <w:szCs w:val="16"/>
        </w:rPr>
        <w:t>;</w:t>
      </w:r>
      <w:proofErr w:type="gramEnd"/>
      <w:r w:rsidR="00DE2E1C" w:rsidRPr="00BE0B76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BE0B76">
        <w:rPr>
          <w:rFonts w:ascii="Times New Roman" w:hAnsi="Times New Roman"/>
          <w:sz w:val="16"/>
          <w:szCs w:val="16"/>
        </w:rPr>
        <w:t xml:space="preserve">a société </w:t>
      </w:r>
      <w:r w:rsidR="005273A3" w:rsidRPr="00BE0B7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5273A3" w:rsidRPr="00BE0B76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5273A3" w:rsidRPr="00BE0B76">
        <w:rPr>
          <w:rFonts w:ascii="Times New Roman" w:hAnsi="Times New Roman"/>
          <w:b/>
          <w:sz w:val="16"/>
          <w:szCs w:val="16"/>
        </w:rPr>
        <w:t>}</w:t>
      </w:r>
      <w:r w:rsidR="005049AC" w:rsidRPr="00BE0B7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E0B76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BE0B76">
        <w:rPr>
          <w:rFonts w:ascii="Times New Roman" w:hAnsi="Times New Roman"/>
          <w:sz w:val="16"/>
          <w:szCs w:val="16"/>
        </w:rPr>
        <w:t>2</w:t>
      </w:r>
      <w:r w:rsidRPr="00BE0B76">
        <w:rPr>
          <w:rFonts w:ascii="Times New Roman" w:hAnsi="Times New Roman"/>
          <w:sz w:val="16"/>
          <w:szCs w:val="16"/>
        </w:rPr>
        <w:t xml:space="preserve"> et suivants de </w:t>
      </w:r>
      <w:r w:rsidRPr="00BE0B76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BE0B76">
        <w:rPr>
          <w:rFonts w:ascii="Times New Roman" w:hAnsi="Times New Roman"/>
          <w:sz w:val="16"/>
          <w:szCs w:val="16"/>
        </w:rPr>
        <w:t xml:space="preserve">, au profit de </w:t>
      </w:r>
      <w:r w:rsidRPr="00BE0B76">
        <w:rPr>
          <w:rFonts w:ascii="Times New Roman" w:hAnsi="Times New Roman"/>
          <w:b/>
          <w:sz w:val="16"/>
          <w:szCs w:val="16"/>
        </w:rPr>
        <w:t>COFINA Gabon</w:t>
      </w:r>
      <w:r w:rsidR="00A503D7" w:rsidRPr="00BE0B76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E0B76">
        <w:rPr>
          <w:rFonts w:ascii="Times New Roman" w:hAnsi="Times New Roman"/>
          <w:b/>
          <w:bCs/>
          <w:sz w:val="16"/>
          <w:szCs w:val="16"/>
        </w:rPr>
        <w:t>SA</w:t>
      </w:r>
      <w:r w:rsidRPr="00BE0B76">
        <w:rPr>
          <w:rFonts w:ascii="Times New Roman" w:hAnsi="Times New Roman"/>
          <w:sz w:val="16"/>
          <w:szCs w:val="16"/>
        </w:rPr>
        <w:t>, qui accepte, le</w:t>
      </w:r>
      <w:r w:rsidR="006058E5" w:rsidRPr="00BE0B76">
        <w:rPr>
          <w:rFonts w:ascii="Times New Roman" w:hAnsi="Times New Roman"/>
          <w:sz w:val="16"/>
          <w:szCs w:val="16"/>
        </w:rPr>
        <w:t xml:space="preserve"> </w:t>
      </w:r>
      <w:r w:rsidR="009432F8" w:rsidRPr="00BE0B76">
        <w:rPr>
          <w:rFonts w:ascii="Times New Roman" w:hAnsi="Times New Roman"/>
          <w:sz w:val="16"/>
          <w:szCs w:val="16"/>
        </w:rPr>
        <w:t>stock de marchandises</w:t>
      </w:r>
      <w:r w:rsidRPr="00BE0B76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BE0B76">
        <w:rPr>
          <w:rFonts w:ascii="Times New Roman" w:hAnsi="Times New Roman"/>
          <w:sz w:val="16"/>
          <w:szCs w:val="16"/>
        </w:rPr>
        <w:t>suivent</w:t>
      </w:r>
      <w:r w:rsidRPr="00BE0B76">
        <w:rPr>
          <w:rFonts w:ascii="Times New Roman" w:hAnsi="Times New Roman"/>
          <w:sz w:val="16"/>
          <w:szCs w:val="16"/>
        </w:rPr>
        <w:t> :</w:t>
      </w:r>
      <w:bookmarkStart w:id="13" w:name="_Hlk55915802"/>
    </w:p>
    <w:p w14:paraId="26D18194" w14:textId="3F0FA95B" w:rsidR="001F220F" w:rsidRPr="00BE0B76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BE0B76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 w:rsidRPr="00BE0B76">
        <w:rPr>
          <w:rFonts w:ascii="Times New Roman" w:hAnsi="Times New Roman"/>
          <w:b/>
          <w:sz w:val="16"/>
          <w:szCs w:val="16"/>
          <w:u w:val="single"/>
        </w:rPr>
        <w:t>GAGE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BE0B76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3"/>
          <w:p w14:paraId="20B5D728" w14:textId="77777777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E0B7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E0B7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E0B76">
              <w:rPr>
                <w:rFonts w:ascii="Times New Roman" w:hAnsi="Times New Roman"/>
                <w:b/>
                <w:bCs/>
                <w:sz w:val="16"/>
                <w:szCs w:val="16"/>
              </w:rPr>
              <w:t>Quantités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E0B7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E0B76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BE0B76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BE0B76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BE0B76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BE0B76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Pr="00BE0B76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BE0B76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BE0B76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BE0B76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BE0B76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BE0B76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BE0B76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BE0B76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BE0B76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 w:rsidRPr="00BE0B76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BE0B76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BE0B76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BE0B76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BE0B76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BE0B76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BE0B76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BE0B76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BE0B76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BE0B76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BE0B76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BE0B76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BE0B76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BE0B76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BE0B76">
        <w:rPr>
          <w:sz w:val="16"/>
          <w:szCs w:val="16"/>
        </w:rPr>
        <w:t>L</w:t>
      </w:r>
      <w:r w:rsidR="000D36AF" w:rsidRPr="00BE0B76">
        <w:rPr>
          <w:sz w:val="16"/>
          <w:szCs w:val="16"/>
        </w:rPr>
        <w:t xml:space="preserve">’ensemble du </w:t>
      </w:r>
      <w:r w:rsidR="00DE1210" w:rsidRPr="00BE0B76">
        <w:rPr>
          <w:sz w:val="16"/>
          <w:szCs w:val="16"/>
        </w:rPr>
        <w:t>stock</w:t>
      </w:r>
      <w:r w:rsidR="000D36AF" w:rsidRPr="00BE0B76">
        <w:rPr>
          <w:sz w:val="16"/>
          <w:szCs w:val="16"/>
        </w:rPr>
        <w:t xml:space="preserve"> gagé</w:t>
      </w:r>
      <w:r w:rsidRPr="00BE0B76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BE0B76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BE0B76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BE0B76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BE0B76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BE0B76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BE0B76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BE0B76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BE0B76" w:rsidRDefault="00351AD2" w:rsidP="00A13BD1">
      <w:pPr>
        <w:pStyle w:val="pf0"/>
        <w:rPr>
          <w:sz w:val="16"/>
          <w:szCs w:val="16"/>
        </w:rPr>
      </w:pPr>
      <w:r w:rsidRPr="00BE0B76">
        <w:rPr>
          <w:b/>
          <w:sz w:val="16"/>
          <w:szCs w:val="16"/>
        </w:rPr>
        <w:lastRenderedPageBreak/>
        <w:t>L</w:t>
      </w:r>
      <w:r w:rsidR="004B2237" w:rsidRPr="00BE0B76">
        <w:rPr>
          <w:b/>
          <w:sz w:val="16"/>
          <w:szCs w:val="16"/>
        </w:rPr>
        <w:t>e</w:t>
      </w:r>
      <w:r w:rsidR="00857B5B" w:rsidRPr="00BE0B76">
        <w:rPr>
          <w:b/>
          <w:sz w:val="16"/>
          <w:szCs w:val="16"/>
        </w:rPr>
        <w:t xml:space="preserve"> C</w:t>
      </w:r>
      <w:r w:rsidR="0000103E" w:rsidRPr="00BE0B76">
        <w:rPr>
          <w:b/>
          <w:sz w:val="16"/>
          <w:szCs w:val="16"/>
        </w:rPr>
        <w:t>onstituant</w:t>
      </w:r>
      <w:r w:rsidR="00A13BD1" w:rsidRPr="00BE0B76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BE0B76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BE0B76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BE0B76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BE0B76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BE0B76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BE0B76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BE0B76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BE0B76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BE0B76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BE0B76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BE0B76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BE0B76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BE0B76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BE0B76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BE0B76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BE0B76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BE0B76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BE0B76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BE0B76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BE0B76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BE0B76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BE0B76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BE0B76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BE0B76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BE0B76" w:rsidRDefault="00351AD2" w:rsidP="00061EE1">
      <w:pPr>
        <w:pStyle w:val="pf1"/>
        <w:rPr>
          <w:sz w:val="16"/>
          <w:szCs w:val="16"/>
        </w:rPr>
      </w:pPr>
      <w:r w:rsidRPr="00BE0B76">
        <w:rPr>
          <w:b/>
          <w:smallCaps/>
          <w:sz w:val="16"/>
          <w:szCs w:val="16"/>
          <w:u w:val="single"/>
        </w:rPr>
        <w:t xml:space="preserve">ARTICLE </w:t>
      </w:r>
      <w:r w:rsidR="00AE1152" w:rsidRPr="00BE0B76">
        <w:rPr>
          <w:b/>
          <w:smallCaps/>
          <w:sz w:val="16"/>
          <w:szCs w:val="16"/>
          <w:u w:val="single"/>
        </w:rPr>
        <w:t>6</w:t>
      </w:r>
      <w:r w:rsidRPr="00BE0B76">
        <w:rPr>
          <w:b/>
          <w:smallCaps/>
          <w:sz w:val="16"/>
          <w:szCs w:val="16"/>
        </w:rPr>
        <w:t xml:space="preserve"> : </w:t>
      </w:r>
      <w:r w:rsidR="00EF5C03" w:rsidRPr="00BE0B76">
        <w:rPr>
          <w:b/>
          <w:smallCaps/>
          <w:sz w:val="16"/>
          <w:szCs w:val="16"/>
        </w:rPr>
        <w:t>DUREE ET RENOUVELLEMENT</w:t>
      </w:r>
      <w:r w:rsidRPr="00BE0B76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BE0B76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BE0B76">
        <w:rPr>
          <w:rFonts w:ascii="Times New Roman" w:hAnsi="Times New Roman"/>
          <w:b/>
          <w:sz w:val="16"/>
          <w:szCs w:val="16"/>
        </w:rPr>
        <w:t>l’emprunteur</w:t>
      </w:r>
      <w:r w:rsidRPr="00BE0B76">
        <w:rPr>
          <w:rFonts w:ascii="Times New Roman" w:hAnsi="Times New Roman"/>
          <w:sz w:val="16"/>
          <w:szCs w:val="16"/>
        </w:rPr>
        <w:t xml:space="preserve"> restera devoir à </w:t>
      </w:r>
      <w:r w:rsidRPr="00BE0B76">
        <w:rPr>
          <w:rFonts w:ascii="Times New Roman" w:hAnsi="Times New Roman"/>
          <w:b/>
          <w:sz w:val="16"/>
          <w:szCs w:val="16"/>
        </w:rPr>
        <w:t>COFINA Gabon</w:t>
      </w:r>
      <w:r w:rsidR="00A503D7" w:rsidRPr="00BE0B76">
        <w:rPr>
          <w:rFonts w:ascii="Times New Roman" w:hAnsi="Times New Roman"/>
          <w:sz w:val="16"/>
          <w:szCs w:val="16"/>
        </w:rPr>
        <w:t xml:space="preserve"> </w:t>
      </w:r>
      <w:r w:rsidR="00A503D7" w:rsidRPr="00BE0B76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BE0B76">
        <w:rPr>
          <w:rFonts w:ascii="Times New Roman" w:hAnsi="Times New Roman"/>
          <w:sz w:val="16"/>
          <w:szCs w:val="16"/>
        </w:rPr>
        <w:t xml:space="preserve"> </w:t>
      </w:r>
      <w:r w:rsidRPr="00BE0B76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BE0B76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BE0B76">
        <w:rPr>
          <w:rFonts w:ascii="Times New Roman" w:hAnsi="Times New Roman"/>
          <w:b/>
          <w:sz w:val="16"/>
          <w:szCs w:val="16"/>
        </w:rPr>
        <w:t>COFINA Gabon</w:t>
      </w:r>
      <w:r w:rsidR="00A503D7" w:rsidRPr="00BE0B76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E0B76">
        <w:rPr>
          <w:rFonts w:ascii="Times New Roman" w:hAnsi="Times New Roman"/>
          <w:b/>
          <w:bCs/>
          <w:sz w:val="16"/>
          <w:szCs w:val="16"/>
        </w:rPr>
        <w:t>SA</w:t>
      </w:r>
      <w:r w:rsidRPr="00BE0B76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BE0B76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BE0B76">
        <w:rPr>
          <w:rFonts w:ascii="Times New Roman" w:hAnsi="Times New Roman"/>
          <w:b/>
          <w:sz w:val="16"/>
          <w:szCs w:val="16"/>
        </w:rPr>
        <w:t>COFINA Gabon</w:t>
      </w:r>
      <w:r w:rsidR="00A503D7" w:rsidRPr="00BE0B76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E0B76">
        <w:rPr>
          <w:rFonts w:ascii="Times New Roman" w:hAnsi="Times New Roman"/>
          <w:b/>
          <w:bCs/>
          <w:sz w:val="16"/>
          <w:szCs w:val="16"/>
        </w:rPr>
        <w:t>SA</w:t>
      </w:r>
      <w:r w:rsidRPr="00BE0B76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BE0B76">
        <w:rPr>
          <w:rFonts w:ascii="Times New Roman" w:hAnsi="Times New Roman"/>
          <w:b/>
          <w:sz w:val="16"/>
          <w:szCs w:val="16"/>
        </w:rPr>
        <w:t>constituant</w:t>
      </w:r>
      <w:r w:rsidRPr="00BE0B76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BE0B76">
        <w:rPr>
          <w:rFonts w:ascii="Times New Roman" w:hAnsi="Times New Roman"/>
          <w:b/>
          <w:sz w:val="16"/>
          <w:szCs w:val="16"/>
        </w:rPr>
        <w:t>COFINA Gabon</w:t>
      </w:r>
      <w:r w:rsidR="00A503D7" w:rsidRPr="00BE0B76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E0B76">
        <w:rPr>
          <w:rFonts w:ascii="Times New Roman" w:hAnsi="Times New Roman"/>
          <w:b/>
          <w:bCs/>
          <w:sz w:val="16"/>
          <w:szCs w:val="16"/>
        </w:rPr>
        <w:t>SA</w:t>
      </w:r>
      <w:r w:rsidRPr="00BE0B76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Pr="00BE0B76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BE0B76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BE0B76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BE0B76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BE0B76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BE0B76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BE0B76">
        <w:rPr>
          <w:rFonts w:ascii="Times New Roman" w:hAnsi="Times New Roman"/>
          <w:b/>
          <w:sz w:val="16"/>
          <w:szCs w:val="16"/>
        </w:rPr>
        <w:t>l’emprunteur</w:t>
      </w:r>
      <w:r w:rsidRPr="00BE0B76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BE0B76">
        <w:rPr>
          <w:rFonts w:ascii="Times New Roman" w:hAnsi="Times New Roman"/>
          <w:b/>
          <w:sz w:val="16"/>
          <w:szCs w:val="16"/>
        </w:rPr>
        <w:t>COFINA</w:t>
      </w:r>
      <w:r w:rsidRPr="00BE0B76">
        <w:rPr>
          <w:rFonts w:ascii="Times New Roman" w:hAnsi="Times New Roman"/>
          <w:sz w:val="16"/>
          <w:szCs w:val="16"/>
        </w:rPr>
        <w:t xml:space="preserve"> </w:t>
      </w:r>
      <w:r w:rsidRPr="00BE0B76">
        <w:rPr>
          <w:rFonts w:ascii="Times New Roman" w:hAnsi="Times New Roman"/>
          <w:b/>
          <w:sz w:val="16"/>
          <w:szCs w:val="16"/>
        </w:rPr>
        <w:t>Gabon</w:t>
      </w:r>
      <w:r w:rsidR="00A503D7" w:rsidRPr="00BE0B76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E0B76">
        <w:rPr>
          <w:rFonts w:ascii="Times New Roman" w:hAnsi="Times New Roman"/>
          <w:b/>
          <w:bCs/>
          <w:sz w:val="16"/>
          <w:szCs w:val="16"/>
        </w:rPr>
        <w:t>SA</w:t>
      </w:r>
      <w:r w:rsidRPr="00BE0B76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BE0B76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BE0B76">
        <w:rPr>
          <w:rFonts w:ascii="Times New Roman" w:hAnsi="Times New Roman"/>
          <w:sz w:val="16"/>
          <w:szCs w:val="16"/>
        </w:rPr>
        <w:t>e l’emprunteur</w:t>
      </w:r>
      <w:r w:rsidRPr="00BE0B76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BE0B76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BE0B76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BE0B76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BE0B76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BE0B76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BE0B76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BE0B76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Pr="00BE0B76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BE0B76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BE0B76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BE0B76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BE0B76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BE0B76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BE0B76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BE0B76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BE0B76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BE0B76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BE0B7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273A3" w:rsidRPr="00BE0B76">
        <w:rPr>
          <w:rFonts w:ascii="Times New Roman" w:hAnsi="Times New Roman"/>
          <w:b/>
          <w:bCs/>
          <w:sz w:val="16"/>
          <w:szCs w:val="16"/>
        </w:rPr>
        <w:t>current_date</w:t>
      </w:r>
      <w:proofErr w:type="spellEnd"/>
      <w:r w:rsidR="005273A3" w:rsidRPr="00BE0B76">
        <w:rPr>
          <w:rFonts w:ascii="Times New Roman" w:hAnsi="Times New Roman"/>
          <w:b/>
          <w:bCs/>
          <w:sz w:val="16"/>
          <w:szCs w:val="16"/>
        </w:rPr>
        <w:t>}</w:t>
      </w:r>
      <w:r w:rsidRPr="00BE0B76">
        <w:rPr>
          <w:rFonts w:ascii="Times New Roman" w:hAnsi="Times New Roman"/>
          <w:sz w:val="16"/>
          <w:szCs w:val="16"/>
        </w:rPr>
        <w:t xml:space="preserve"> en </w:t>
      </w:r>
      <w:r w:rsidR="00CF5365" w:rsidRPr="00BE0B76">
        <w:rPr>
          <w:rFonts w:ascii="Times New Roman" w:hAnsi="Times New Roman"/>
          <w:sz w:val="16"/>
          <w:szCs w:val="16"/>
        </w:rPr>
        <w:t>trois (03)</w:t>
      </w:r>
      <w:r w:rsidRPr="00BE0B76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BE0B76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Pr="00BE0B76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BE0B76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BE0B76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BE0B76">
        <w:rPr>
          <w:rFonts w:ascii="Times New Roman" w:hAnsi="Times New Roman"/>
          <w:b/>
          <w:sz w:val="16"/>
          <w:szCs w:val="16"/>
          <w:lang w:val="fr-SN"/>
        </w:rPr>
        <w:tab/>
      </w:r>
      <w:r w:rsidRPr="00BE0B76">
        <w:rPr>
          <w:rFonts w:ascii="Times New Roman" w:hAnsi="Times New Roman"/>
          <w:b/>
          <w:sz w:val="16"/>
          <w:szCs w:val="16"/>
          <w:lang w:val="fr-SN"/>
        </w:rPr>
        <w:tab/>
      </w:r>
      <w:r w:rsidRPr="00BE0B76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 w:rsidRPr="00BE0B76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BE0B76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BE0B76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BE0B76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BE0B76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BE0B76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BE0B76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BE0B76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BE0B76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Pr="00BE0B76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4" w:name="_Hlk55916062"/>
      <w:r w:rsidRPr="00BE0B76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BE0B76">
        <w:rPr>
          <w:rFonts w:ascii="Times New Roman" w:hAnsi="Times New Roman"/>
          <w:sz w:val="16"/>
          <w:szCs w:val="16"/>
        </w:rPr>
        <w:t>Signature</w:t>
      </w:r>
      <w:r w:rsidR="004B2237" w:rsidRPr="00BE0B76">
        <w:rPr>
          <w:rFonts w:ascii="Times New Roman" w:hAnsi="Times New Roman"/>
          <w:sz w:val="16"/>
          <w:szCs w:val="16"/>
        </w:rPr>
        <w:t xml:space="preserve"> (avec cachet)</w:t>
      </w:r>
      <w:r w:rsidRPr="00BE0B76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4"/>
    </w:p>
    <w:p w14:paraId="33AD93E3" w14:textId="4C198F2D" w:rsidR="00C06797" w:rsidRPr="00BE0B76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BE0B76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07E0B" w14:textId="77777777" w:rsidR="007849B6" w:rsidRDefault="007849B6">
      <w:pPr>
        <w:spacing w:after="0" w:line="240" w:lineRule="auto"/>
      </w:pPr>
      <w:r>
        <w:separator/>
      </w:r>
    </w:p>
  </w:endnote>
  <w:endnote w:type="continuationSeparator" w:id="0">
    <w:p w14:paraId="67D5B62A" w14:textId="77777777" w:rsidR="007849B6" w:rsidRDefault="0078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52805" w14:textId="77777777" w:rsidR="007849B6" w:rsidRDefault="007849B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FA2C7F" w14:textId="77777777" w:rsidR="007849B6" w:rsidRDefault="0078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531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2728F"/>
    <w:rsid w:val="00250359"/>
    <w:rsid w:val="00253F9E"/>
    <w:rsid w:val="00254D93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08EC"/>
    <w:rsid w:val="002F676A"/>
    <w:rsid w:val="002F79C0"/>
    <w:rsid w:val="00315BC8"/>
    <w:rsid w:val="00323698"/>
    <w:rsid w:val="00351AD2"/>
    <w:rsid w:val="00351EB6"/>
    <w:rsid w:val="00353869"/>
    <w:rsid w:val="00353936"/>
    <w:rsid w:val="003543DB"/>
    <w:rsid w:val="0035665B"/>
    <w:rsid w:val="0036134E"/>
    <w:rsid w:val="00364F5C"/>
    <w:rsid w:val="00370BC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038B8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520CF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927D7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49B6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0B76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1542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20</cp:revision>
  <cp:lastPrinted>2025-08-14T09:42:00Z</cp:lastPrinted>
  <dcterms:created xsi:type="dcterms:W3CDTF">2025-08-14T09:43:00Z</dcterms:created>
  <dcterms:modified xsi:type="dcterms:W3CDTF">2025-10-16T08:42:00Z</dcterms:modified>
</cp:coreProperties>
</file>