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civility</w:t>
      </w:r>
      <w:proofErr w:type="spellEnd"/>
      <w:r w:rsidRPr="00604A7B">
        <w:rPr>
          <w:b/>
          <w:bCs/>
          <w:sz w:val="16"/>
          <w:szCs w:val="16"/>
        </w:rPr>
        <w:t>} 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r w:rsidR="00156FEA">
        <w:rPr>
          <w:b/>
          <w:bCs/>
          <w:sz w:val="16"/>
          <w:szCs w:val="16"/>
        </w:rPr>
        <w:t>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birth_date</w:t>
      </w:r>
      <w:proofErr w:type="spellEnd"/>
      <w:r w:rsidRPr="00604A7B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home_address</w:t>
      </w:r>
      <w:proofErr w:type="spellEnd"/>
      <w:r w:rsidRPr="00604A7B">
        <w:rPr>
          <w:b/>
          <w:bCs/>
          <w:sz w:val="16"/>
          <w:szCs w:val="16"/>
        </w:rPr>
        <w:t>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proofErr w:type="spellStart"/>
      <w:r w:rsidR="00571A23" w:rsidRPr="00571A23">
        <w:rPr>
          <w:b/>
          <w:bCs/>
          <w:sz w:val="16"/>
          <w:szCs w:val="16"/>
        </w:rPr>
        <w:t>contract.representative_type_of_identity_documen</w:t>
      </w:r>
      <w:r w:rsidR="00156FEA">
        <w:rPr>
          <w:b/>
          <w:bCs/>
          <w:sz w:val="16"/>
          <w:szCs w:val="16"/>
        </w:rPr>
        <w:t>t</w:t>
      </w:r>
      <w:proofErr w:type="spellEnd"/>
      <w:r w:rsidRPr="00604A7B">
        <w:rPr>
          <w:b/>
          <w:bCs/>
          <w:sz w:val="16"/>
          <w:szCs w:val="16"/>
        </w:rPr>
        <w:t>}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571A23" w:rsidRPr="00571A23">
        <w:rPr>
          <w:rFonts w:eastAsia="Calibri"/>
          <w:b/>
          <w:bCs/>
          <w:sz w:val="16"/>
          <w:szCs w:val="16"/>
          <w:lang w:eastAsia="en-US"/>
        </w:rPr>
        <w:t>contract.representative_number_of_identity_document</w:t>
      </w:r>
      <w:proofErr w:type="spellEnd"/>
      <w:r w:rsidR="00571A23">
        <w:rPr>
          <w:rFonts w:eastAsia="Calibri"/>
          <w:b/>
          <w:bCs/>
          <w:sz w:val="16"/>
          <w:szCs w:val="16"/>
          <w:lang w:eastAsia="en-US"/>
        </w:rPr>
        <w:t>}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${</w:t>
      </w:r>
      <w:proofErr w:type="spellStart"/>
      <w:r w:rsidR="00571A23" w:rsidRPr="00571A23">
        <w:rPr>
          <w:b/>
          <w:bCs/>
          <w:sz w:val="16"/>
          <w:szCs w:val="16"/>
        </w:rPr>
        <w:t>contract.representative_date_of_issue_of_identity_document</w:t>
      </w:r>
      <w:proofErr w:type="spellEnd"/>
      <w:r w:rsidR="00464564" w:rsidRPr="00604A7B">
        <w:rPr>
          <w:b/>
          <w:bCs/>
          <w:sz w:val="16"/>
          <w:szCs w:val="16"/>
        </w:rPr>
        <w:t>}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672E4">
        <w:rPr>
          <w:rFonts w:eastAsia="Calibri"/>
          <w:b/>
          <w:bCs/>
          <w:sz w:val="16"/>
          <w:szCs w:val="16"/>
          <w:lang w:eastAsia="en-US"/>
        </w:rPr>
        <w:t>contrat.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representative_office_delivery</w:t>
      </w:r>
      <w:proofErr w:type="spellEnd"/>
      <w:r w:rsidR="006672E4" w:rsidRPr="006672E4">
        <w:rPr>
          <w:rFonts w:eastAsia="Calibri"/>
          <w:b/>
          <w:bCs/>
          <w:sz w:val="16"/>
          <w:szCs w:val="16"/>
          <w:lang w:eastAsia="en-US"/>
        </w:rPr>
        <w:t>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last_name</w:t>
      </w:r>
      <w:proofErr w:type="spellEnd"/>
      <w:r w:rsidRPr="00604A7B">
        <w:rPr>
          <w:b/>
          <w:bCs/>
          <w:sz w:val="16"/>
          <w:szCs w:val="16"/>
        </w:rPr>
        <w:t>}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first_name</w:t>
      </w:r>
      <w:proofErr w:type="spellEnd"/>
      <w:r w:rsidRPr="00604A7B">
        <w:rPr>
          <w:b/>
          <w:bCs/>
          <w:sz w:val="16"/>
          <w:szCs w:val="16"/>
        </w:rPr>
        <w:t xml:space="preserve">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contract.verbal_trial.applicant_first_name</w:t>
      </w:r>
      <w:proofErr w:type="spellEnd"/>
      <w:r w:rsidR="00035225">
        <w:rPr>
          <w:b/>
          <w:bCs/>
          <w:sz w:val="16"/>
          <w:szCs w:val="16"/>
        </w:rPr>
        <w:t>} ${</w:t>
      </w:r>
      <w:proofErr w:type="spellStart"/>
      <w:r w:rsidR="00035225" w:rsidRPr="00035225">
        <w:rPr>
          <w:b/>
          <w:bCs/>
          <w:sz w:val="16"/>
          <w:szCs w:val="16"/>
        </w:rPr>
        <w:t>contract.verbal_trial.applicant_last_name</w:t>
      </w:r>
      <w:proofErr w:type="spellEnd"/>
      <w:r w:rsidR="00035225">
        <w:rPr>
          <w:b/>
          <w:bCs/>
          <w:sz w:val="16"/>
          <w:szCs w:val="16"/>
        </w:rPr>
        <w:t>}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${</w:t>
      </w:r>
      <w:proofErr w:type="spellStart"/>
      <w:r w:rsidR="00035225" w:rsidRPr="00035225">
        <w:rPr>
          <w:b/>
          <w:sz w:val="16"/>
          <w:szCs w:val="16"/>
        </w:rPr>
        <w:t>contract.verbal_trial.account_number</w:t>
      </w:r>
      <w:proofErr w:type="spellEnd"/>
      <w:r w:rsidR="00035225">
        <w:rPr>
          <w:b/>
          <w:sz w:val="16"/>
          <w:szCs w:val="16"/>
        </w:rPr>
        <w:t>}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${</w:t>
      </w:r>
      <w:proofErr w:type="spellStart"/>
      <w:r w:rsidR="00F637C2" w:rsidRPr="00F637C2">
        <w:rPr>
          <w:b/>
          <w:sz w:val="16"/>
          <w:szCs w:val="16"/>
        </w:rPr>
        <w:t>contract.total_to_pay</w:t>
      </w:r>
      <w:proofErr w:type="spellEnd"/>
      <w:r w:rsidR="000C6D4C">
        <w:rPr>
          <w:b/>
          <w:sz w:val="16"/>
          <w:szCs w:val="16"/>
        </w:rPr>
        <w:t>}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${</w:t>
      </w:r>
      <w:r w:rsidR="000C6D4C" w:rsidRPr="000C6D4C">
        <w:rPr>
          <w:b/>
          <w:sz w:val="16"/>
          <w:szCs w:val="16"/>
        </w:rPr>
        <w:t>contract.total_to_pay.fr</w:t>
      </w:r>
      <w:r w:rsidR="000C6D4C">
        <w:rPr>
          <w:b/>
          <w:sz w:val="16"/>
          <w:szCs w:val="16"/>
        </w:rPr>
        <w:t xml:space="preserve">}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$</w:t>
      </w:r>
      <w:r w:rsidR="00951D05">
        <w:rPr>
          <w:sz w:val="16"/>
          <w:szCs w:val="16"/>
        </w:rPr>
        <w:t>{</w:t>
      </w:r>
      <w:proofErr w:type="spellStart"/>
      <w:r w:rsidR="00951D05" w:rsidRPr="00951D05">
        <w:rPr>
          <w:sz w:val="16"/>
          <w:szCs w:val="16"/>
        </w:rPr>
        <w:t>current_date</w:t>
      </w:r>
      <w:proofErr w:type="spellEnd"/>
      <w:r w:rsidR="00951D05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804139" w:rsidRPr="000C6D4C">
        <w:rPr>
          <w:b/>
          <w:sz w:val="16"/>
          <w:szCs w:val="16"/>
        </w:rPr>
        <w:t>contract.total_to_pay</w:t>
      </w:r>
      <w:proofErr w:type="spellEnd"/>
      <w:r w:rsidR="00EE68A0">
        <w:rPr>
          <w:b/>
          <w:bCs/>
          <w:i/>
          <w:iCs/>
          <w:color w:val="000000"/>
          <w:sz w:val="16"/>
          <w:szCs w:val="16"/>
        </w:rPr>
        <w:t>}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${</w:t>
      </w:r>
      <w:r w:rsidR="00EE68A0" w:rsidRPr="000C6D4C">
        <w:rPr>
          <w:b/>
          <w:sz w:val="16"/>
          <w:szCs w:val="16"/>
        </w:rPr>
        <w:t>contract.total_to_pay.fr</w:t>
      </w:r>
      <w:r w:rsidR="00EE68A0">
        <w:rPr>
          <w:b/>
          <w:sz w:val="16"/>
          <w:szCs w:val="16"/>
        </w:rPr>
        <w:t xml:space="preserve">}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${</w:t>
    </w:r>
    <w:proofErr w:type="spellStart"/>
    <w:r w:rsidR="00254246" w:rsidRPr="00604A7B">
      <w:rPr>
        <w:b/>
        <w:bCs/>
        <w:sz w:val="16"/>
        <w:szCs w:val="16"/>
      </w:rPr>
      <w:t>last_name</w:t>
    </w:r>
    <w:proofErr w:type="spellEnd"/>
    <w:r w:rsidR="00254246" w:rsidRPr="00604A7B">
      <w:rPr>
        <w:b/>
        <w:bCs/>
        <w:sz w:val="16"/>
        <w:szCs w:val="16"/>
      </w:rPr>
      <w:t>}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$</w:t>
    </w:r>
    <w:r w:rsidR="000B1D53">
      <w:rPr>
        <w:b/>
        <w:bCs/>
        <w:sz w:val="16"/>
        <w:szCs w:val="16"/>
      </w:rPr>
      <w:t>{</w:t>
    </w:r>
    <w:proofErr w:type="spellStart"/>
    <w:r w:rsidR="00254246" w:rsidRPr="00604A7B">
      <w:rPr>
        <w:b/>
        <w:bCs/>
        <w:sz w:val="16"/>
        <w:szCs w:val="16"/>
      </w:rPr>
      <w:t>first_name</w:t>
    </w:r>
    <w:proofErr w:type="spellEnd"/>
    <w:r w:rsidR="00254246" w:rsidRPr="00604A7B">
      <w:rPr>
        <w:b/>
        <w:bCs/>
        <w:sz w:val="16"/>
        <w:szCs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