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25 août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Madame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ABIKA LISA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06 avril 1982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FRANCEVILLE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OKALA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PP-2345-RD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18 mars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DGDI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SECRETAIRE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373310005217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077909000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34FD7D18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1026FC8C" w14:textId="6393597C" w:rsidR="009A5158" w:rsidRPr="009A5158" w:rsidRDefault="009A5158" w:rsidP="0019699C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10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ELOHYM EST GRAND</w:t>
      </w:r>
      <w:bookmarkEnd w:id="10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10 000 000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dix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5213" w14:textId="77777777" w:rsidR="0014141A" w:rsidRDefault="0014141A">
      <w:pPr>
        <w:spacing w:after="0" w:line="240" w:lineRule="auto"/>
      </w:pPr>
      <w:r>
        <w:separator/>
      </w:r>
    </w:p>
  </w:endnote>
  <w:endnote w:type="continuationSeparator" w:id="0">
    <w:p w14:paraId="0CCFB3FC" w14:textId="77777777" w:rsidR="0014141A" w:rsidRDefault="0014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5B0A" w14:textId="77777777" w:rsidR="0014141A" w:rsidRDefault="0014141A">
      <w:pPr>
        <w:spacing w:after="0" w:line="240" w:lineRule="auto"/>
      </w:pPr>
      <w:r>
        <w:separator/>
      </w:r>
    </w:p>
  </w:footnote>
  <w:footnote w:type="continuationSeparator" w:id="0">
    <w:p w14:paraId="1E9A7A65" w14:textId="77777777" w:rsidR="0014141A" w:rsidRDefault="0014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