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04 décembre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KABAMBA KALUNDA GUYLAIN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15 mai 1980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BAS DE GUE GUE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PP5456TRA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02 mars 2020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Direction générale de la documentation et de l'immigation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Expert 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371020001479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0024174303088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