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ETS KOFFI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371020002102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