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1CA0E2AF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79526242"/>
      <w:bookmarkStart w:id="2" w:name="_Hlk178795261"/>
      <w:bookmarkStart w:id="3" w:name="_Hlk182900354"/>
      <w:r w:rsidRPr="00DB69D0">
        <w:rPr>
          <w:b/>
          <w:bCs/>
          <w:sz w:val="16"/>
          <w:szCs w:val="16"/>
        </w:rPr>
        <w:t>Mr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Neque vero minima ad 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3"/>
      <w:bookmarkEnd w:id="4"/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02 janvier 2024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Est proident conse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Carte d'identité nationale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N°Doloribus quasi quid</w:t>
      </w:r>
      <w:r>
        <w:rPr>
          <w:b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 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Voluptatibus et dolo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 xml:space="preserve">le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27 février 2024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Aperiam in quo quasi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 xml:space="preserve">N° </w:t>
      </w:r>
      <w:bookmarkStart w:id="11" w:name="_Hlk177460619"/>
      <w:r w:rsidRPr="00DB69D0">
        <w:rPr>
          <w:b/>
          <w:bCs/>
          <w:sz w:val="16"/>
          <w:szCs w:val="16"/>
        </w:rPr>
        <w:t>Ut ratione libero un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+1 (309) 191-6987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1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53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57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1,7 % mensuel soit 20 %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3 FCFA soit 5%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53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12 novembre 2024.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Mr Neque vero minima ad  Nisi omnis culpa ev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4249C8FF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LBV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 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435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5000000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5000000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19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66F8F" w14:textId="77777777" w:rsidR="00DD52F6" w:rsidRDefault="00DD52F6">
      <w:r>
        <w:separator/>
      </w:r>
    </w:p>
  </w:endnote>
  <w:endnote w:type="continuationSeparator" w:id="0">
    <w:p w14:paraId="0E816E82" w14:textId="77777777" w:rsidR="00DD52F6" w:rsidRDefault="00DD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9E4A" w14:textId="77777777" w:rsidR="00DD52F6" w:rsidRDefault="00DD52F6">
      <w:r>
        <w:separator/>
      </w:r>
    </w:p>
  </w:footnote>
  <w:footnote w:type="continuationSeparator" w:id="0">
    <w:p w14:paraId="2C266249" w14:textId="77777777" w:rsidR="00DD52F6" w:rsidRDefault="00DD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2024-11-19T07:57:00Z</dcterms:created>
  <dcterms:modified xsi:type="dcterms:W3CDTF">2024-11-19T08:39:00Z</dcterms:modified>
</cp:coreProperties>
</file>