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1CA0E2AF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9526242"/>
      <w:bookmarkStart w:id="2" w:name="_Hlk178795261"/>
      <w:bookmarkStart w:id="3" w:name="_Hlk182900354"/>
      <w:r w:rsidRPr="00DB69D0">
        <w:rPr>
          <w:b/>
          <w:bCs/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Nesciunt ex ut quia 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3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06 septembre 1954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Et id doloremque atq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Carte d'identité nationale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N°Eum sunt enim volupt</w:t>
      </w:r>
      <w:r>
        <w:rPr>
          <w:b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 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Adipisicing et conse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06 juillet 2022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Fugiat temporibus ut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 xml:space="preserve">N° </w:t>
      </w:r>
      <w:bookmarkStart w:id="11" w:name="_Hlk177460619"/>
      <w:r w:rsidRPr="00DB69D0">
        <w:rPr>
          <w:b/>
          <w:bCs/>
          <w:sz w:val="16"/>
          <w:szCs w:val="16"/>
        </w:rPr>
        <w:t>Dolor fuga Nulla no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+1 (483) 671-9075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1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11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73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1,7 % mensuel soit 20 %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8 FCFA soit 72%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7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20 novembre 2024.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Nesciunt ex ut quia  Laboris est vitae fa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4249C8FF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OWENDO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 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1000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34000000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34000000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19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6F8F" w14:textId="77777777" w:rsidR="00DD52F6" w:rsidRDefault="00DD52F6">
      <w:r>
        <w:separator/>
      </w:r>
    </w:p>
  </w:endnote>
  <w:endnote w:type="continuationSeparator" w:id="0">
    <w:p w14:paraId="0E816E82" w14:textId="77777777" w:rsidR="00DD52F6" w:rsidRDefault="00DD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9E4A" w14:textId="77777777" w:rsidR="00DD52F6" w:rsidRDefault="00DD52F6">
      <w:r>
        <w:separator/>
      </w:r>
    </w:p>
  </w:footnote>
  <w:footnote w:type="continuationSeparator" w:id="0">
    <w:p w14:paraId="2C266249" w14:textId="77777777" w:rsidR="00DD52F6" w:rsidRDefault="00DD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2024-11-19T07:57:00Z</dcterms:created>
  <dcterms:modified xsi:type="dcterms:W3CDTF">2024-11-19T08:39:00Z</dcterms:modified>
</cp:coreProperties>
</file>