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1CA0E2AF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DB69D0">
        <w:rPr>
          <w:b/>
          <w:bCs/>
          <w:sz w:val="16"/>
          <w:szCs w:val="16"/>
        </w:rPr>
        <w:t>Mme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YOUBI 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1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12 décembre 1989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Koulamoutou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N°GA5456</w:t>
      </w:r>
      <w:r>
        <w:rPr>
          <w:b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 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DGDI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10 juin 2024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Owendo(SNI)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 xml:space="preserve">N° </w:t>
      </w:r>
      <w:bookmarkStart w:id="11" w:name="_Hlk177460619"/>
      <w:r w:rsidRPr="00DB69D0">
        <w:rPr>
          <w:b/>
          <w:bCs/>
          <w:sz w:val="16"/>
          <w:szCs w:val="16"/>
        </w:rPr>
        <w:t>361230000232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074556709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1,6 % mensuel soit 19.3 %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182 000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145 000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18 décembre 2024.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Mme YOUBI  Esther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795FAAE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LIbreville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Sorbonne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200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1500000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un million cinq cent mille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20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4295" w14:textId="77777777" w:rsidR="004D4A44" w:rsidRDefault="004D4A44">
      <w:r>
        <w:separator/>
      </w:r>
    </w:p>
  </w:endnote>
  <w:endnote w:type="continuationSeparator" w:id="0">
    <w:p w14:paraId="5473788E" w14:textId="77777777" w:rsidR="004D4A44" w:rsidRDefault="004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DE48A" w14:textId="77777777" w:rsidR="004D4A44" w:rsidRDefault="004D4A44">
      <w:r>
        <w:separator/>
      </w:r>
    </w:p>
  </w:footnote>
  <w:footnote w:type="continuationSeparator" w:id="0">
    <w:p w14:paraId="1C7DA653" w14:textId="77777777" w:rsidR="004D4A44" w:rsidRDefault="004D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9</cp:revision>
  <cp:lastPrinted>2023-04-27T15:26:00Z</cp:lastPrinted>
  <dcterms:created xsi:type="dcterms:W3CDTF">2024-11-19T07:57:00Z</dcterms:created>
  <dcterms:modified xsi:type="dcterms:W3CDTF">2024-11-20T03:30:00Z</dcterms:modified>
</cp:coreProperties>
</file>