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3B5936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</w:t>
      </w:r>
      <w:r w:rsidR="00760331">
        <w:rPr>
          <w:sz w:val="16"/>
          <w:szCs w:val="16"/>
          <w:lang w:val="fr-SN"/>
        </w:rPr>
        <w:t xml:space="preserve">Madame </w:t>
      </w:r>
      <w:r w:rsidR="00760331">
        <w:rPr>
          <w:b/>
          <w:bCs/>
          <w:sz w:val="16"/>
          <w:szCs w:val="16"/>
          <w:lang w:val="fr-SN"/>
        </w:rPr>
        <w:t>Jenny MVOU</w:t>
      </w:r>
      <w:r w:rsidRPr="00254E01">
        <w:rPr>
          <w:sz w:val="16"/>
          <w:szCs w:val="16"/>
          <w:lang w:val="fr-SN"/>
        </w:rPr>
        <w:t>, s</w:t>
      </w:r>
      <w:r w:rsidR="007650F5">
        <w:rPr>
          <w:sz w:val="16"/>
          <w:szCs w:val="16"/>
          <w:lang w:val="fr-SN"/>
        </w:rPr>
        <w:t>a</w:t>
      </w:r>
      <w:r w:rsidRPr="00254E01">
        <w:rPr>
          <w:sz w:val="16"/>
          <w:szCs w:val="16"/>
          <w:lang w:val="fr-SN"/>
        </w:rPr>
        <w:t xml:space="preserve"> Direct</w:t>
      </w:r>
      <w:r w:rsidR="007650F5">
        <w:rPr>
          <w:sz w:val="16"/>
          <w:szCs w:val="16"/>
          <w:lang w:val="fr-SN"/>
        </w:rPr>
        <w:t xml:space="preserve">rice </w:t>
      </w:r>
      <w:r w:rsidRPr="00254E01">
        <w:rPr>
          <w:sz w:val="16"/>
          <w:szCs w:val="16"/>
          <w:lang w:val="fr-SN"/>
        </w:rPr>
        <w:t>Général</w:t>
      </w:r>
      <w:r w:rsidR="007650F5">
        <w:rPr>
          <w:sz w:val="16"/>
          <w:szCs w:val="16"/>
          <w:lang w:val="fr-SN"/>
        </w:rPr>
        <w:t>e</w:t>
      </w:r>
      <w:r w:rsidR="00760331">
        <w:rPr>
          <w:sz w:val="16"/>
          <w:szCs w:val="16"/>
          <w:lang w:val="fr-SN"/>
        </w:rPr>
        <w:t xml:space="preserve"> Adjointe</w:t>
      </w:r>
      <w:r w:rsidRPr="00254E01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MANGOYE MABIS,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carte de séjour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N°2015b17163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30 septembre 2016,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LBV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CITE AWENDJE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0024166396814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Gerant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II MEP SERVICES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Togolaise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MANGOYE MABIS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II MEP SERVICES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SARL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CITE AWENDJE,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56567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2015b17163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56578-N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371030001051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24 430 813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vingt-quatre millions quatre cent trente mille huit cent treize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01 septembre 2025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24 430 813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vingt-quatre millions quatre cent trente mille huit cent treize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1992A" w14:textId="77777777" w:rsidR="005005C9" w:rsidRDefault="005005C9">
      <w:r>
        <w:separator/>
      </w:r>
    </w:p>
  </w:endnote>
  <w:endnote w:type="continuationSeparator" w:id="0">
    <w:p w14:paraId="1C896F60" w14:textId="77777777" w:rsidR="005005C9" w:rsidRDefault="0050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MANGOYE MABIS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EDE68" w14:textId="77777777" w:rsidR="005005C9" w:rsidRDefault="005005C9">
      <w:r>
        <w:separator/>
      </w:r>
    </w:p>
  </w:footnote>
  <w:footnote w:type="continuationSeparator" w:id="0">
    <w:p w14:paraId="24F00939" w14:textId="77777777" w:rsidR="005005C9" w:rsidRDefault="00500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22E3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9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331"/>
    <w:rsid w:val="00760836"/>
    <w:rsid w:val="007650F5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A9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0E38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16</cp:revision>
  <cp:lastPrinted>2024-09-25T07:11:00Z</cp:lastPrinted>
  <dcterms:created xsi:type="dcterms:W3CDTF">2024-11-20T12:26:00Z</dcterms:created>
  <dcterms:modified xsi:type="dcterms:W3CDTF">2025-08-27T11:57:00Z</dcterms:modified>
</cp:coreProperties>
</file>