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II MEP SERVICES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53467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2015b17163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553645-N</w:t>
      </w:r>
      <w:bookmarkEnd w:id="10"/>
    </w:p>
    <w:bookmarkEnd w:id="7"/>
    <w:p w14:paraId="7240AA0E" w14:textId="77777777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II MEP SERVICES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r w:rsidR="00C41AD3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Monsieur</w:t>
      </w:r>
      <w:r w:rsidR="00EB7947" w:rsidRPr="00C520AE">
        <w:rPr>
          <w:rFonts w:ascii="Times New Roman" w:hAnsi="Times New Roman"/>
          <w:b/>
          <w:bCs/>
          <w:sz w:val="16"/>
          <w:szCs w:val="16"/>
        </w:rPr>
        <w:t xml:space="preserve"> MABIS MANGOYE MABIS MANGOYE,</w:t>
      </w:r>
      <w:r w:rsidR="00EB7947" w:rsidRPr="00C520AE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EB7947" w:rsidRPr="00C520AE">
        <w:rPr>
          <w:rFonts w:ascii="Times New Roman" w:hAnsi="Times New Roman"/>
          <w:sz w:val="16"/>
          <w:szCs w:val="16"/>
        </w:rPr>
        <w:t xml:space="preserve">titulaire du </w:t>
      </w:r>
      <w:bookmarkStart w:id="14" w:name="_Hlk181197954"/>
      <w:r w:rsidR="00EB7947"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="00EB7947" w:rsidRPr="00C520AE">
        <w:rPr>
          <w:rFonts w:ascii="Times New Roman" w:hAnsi="Times New Roman"/>
          <w:sz w:val="16"/>
          <w:szCs w:val="16"/>
        </w:rPr>
        <w:t xml:space="preserve"> N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°2015b17163</w:t>
      </w:r>
      <w:bookmarkEnd w:id="14"/>
      <w:r w:rsidR="00EB794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7947" w:rsidRPr="00C520AE">
        <w:rPr>
          <w:rFonts w:ascii="Times New Roman" w:hAnsi="Times New Roman"/>
          <w:sz w:val="16"/>
          <w:szCs w:val="16"/>
        </w:rPr>
        <w:t xml:space="preserve">délivré le 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30 septembre 2016</w:t>
      </w:r>
      <w:bookmarkEnd w:id="12"/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, domicilié à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Charbonnage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077557690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6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7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8" w:name="_Hlk206598029"/>
      <w:bookmarkStart w:id="19" w:name="_Hlk202795828"/>
      <w:bookmarkStart w:id="20" w:name="_Hlk201568433"/>
      <w:bookmarkStart w:id="21" w:name="_Hlk202537200"/>
      <w:r w:rsidR="00EF13EE" w:rsidRPr="00C520AE">
        <w:rPr>
          <w:rFonts w:ascii="Times New Roman" w:hAnsi="Times New Roman"/>
          <w:b/>
          <w:sz w:val="16"/>
          <w:szCs w:val="16"/>
        </w:rPr>
        <w:t>II MEP SERVICES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53467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2015b17163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553645-N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18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7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9"/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6"/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II MEP SERVICES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2" w:name="_Hlk201567974"/>
      <w:r w:rsidR="00EF13EE" w:rsidRPr="00C520AE">
        <w:rPr>
          <w:rFonts w:ascii="Times New Roman" w:hAnsi="Times New Roman"/>
          <w:b/>
          <w:sz w:val="16"/>
          <w:szCs w:val="16"/>
        </w:rPr>
        <w:t>22 000 000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vingt-deux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2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5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22 000 000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2,5 % mensuel soit 30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660 000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660 000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660 000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2025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4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24 430 813</w:t>
      </w:r>
      <w:bookmarkEnd w:id="24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vingt-quatre millions quatre cent trente mille huit cent treize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3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5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AV</w:t>
      </w:r>
      <w:bookmarkEnd w:id="25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6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7" w:name="_Hlk202796125"/>
      <w:bookmarkStart w:id="28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9" w:name="_Hlk202537517"/>
      <w:r w:rsidR="00C41AD3" w:rsidRPr="00C41AD3">
        <w:rPr>
          <w:rFonts w:ascii="Times New Roman" w:hAnsi="Times New Roman"/>
          <w:b/>
          <w:sz w:val="16"/>
          <w:szCs w:val="16"/>
        </w:rPr>
        <w:t>II MEP SERVICES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SARL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CITE AWENDJE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53467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2015b17163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553645-N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6"/>
    <w:bookmarkEnd w:id="27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8"/>
    <w:bookmarkEnd w:id="29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0" w:name="_Hlk95913260"/>
    </w:p>
    <w:bookmarkEnd w:id="30"/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II MEP SERVICES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II MEP SERVICES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II MEP SERVICES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1" w:name="_Hlk207032807"/>
      <w:r w:rsidR="00DC5094" w:rsidRPr="00C520AE">
        <w:rPr>
          <w:rFonts w:ascii="Times New Roman" w:hAnsi="Times New Roman"/>
          <w:sz w:val="16"/>
          <w:szCs w:val="16"/>
        </w:rPr>
        <w:t>01 septembre 2025</w:t>
      </w:r>
      <w:bookmarkEnd w:id="31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81B5" w14:textId="77777777" w:rsidR="00762E6B" w:rsidRDefault="00762E6B" w:rsidP="005E3B9E">
      <w:r>
        <w:separator/>
      </w:r>
    </w:p>
  </w:endnote>
  <w:endnote w:type="continuationSeparator" w:id="0">
    <w:p w14:paraId="5F79CC37" w14:textId="77777777" w:rsidR="00762E6B" w:rsidRDefault="00762E6B" w:rsidP="005E3B9E">
      <w:r>
        <w:continuationSeparator/>
      </w:r>
    </w:p>
  </w:endnote>
  <w:endnote w:type="continuationNotice" w:id="1">
    <w:p w14:paraId="29F2ABA9" w14:textId="77777777" w:rsidR="00762E6B" w:rsidRDefault="00762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2C23" w14:textId="77777777" w:rsidR="00762E6B" w:rsidRDefault="00762E6B" w:rsidP="005E3B9E">
      <w:r>
        <w:separator/>
      </w:r>
    </w:p>
  </w:footnote>
  <w:footnote w:type="continuationSeparator" w:id="0">
    <w:p w14:paraId="6F5D678B" w14:textId="77777777" w:rsidR="00762E6B" w:rsidRDefault="00762E6B" w:rsidP="005E3B9E">
      <w:r>
        <w:continuationSeparator/>
      </w:r>
    </w:p>
  </w:footnote>
  <w:footnote w:type="continuationNotice" w:id="1">
    <w:p w14:paraId="3AF42038" w14:textId="77777777" w:rsidR="00762E6B" w:rsidRDefault="00762E6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21</cp:revision>
  <cp:lastPrinted>2025-08-21T11:07:00Z</cp:lastPrinted>
  <dcterms:created xsi:type="dcterms:W3CDTF">2025-08-20T15:59:00Z</dcterms:created>
  <dcterms:modified xsi:type="dcterms:W3CDTF">2025-08-27T11:58:00Z</dcterms:modified>
</cp:coreProperties>
</file>