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Neque vero minima ad Nisi omnis culpa ev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02 janvier 2024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Est proident conse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Aperiam in quo quasi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N°Doloribus quasi quid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27 février 2024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Voluptatibus et dolo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Quia eveniet perfer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Ut ratione libero un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+1 (309) 191-6987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Neque vero minima ad Nisi omnis culpa ev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Neque vero minima ad Nisi omnis culpa ev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74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soixante-quatorze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53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57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1,7 %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20 %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3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5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53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12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110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cent neuf et soixante-quatre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Tempor proident nih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PAH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Neque vero minima ad Nisi omnis culpa ev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Neque vero minima ad Nisi omnis culpa ev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Neque vero minima ad Nisi omnis culpa ev,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19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