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ALI NOUREDDINE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19 septembre 1986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KFAR ROMMAN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N°PP765524AZA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19 octobre 2023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OWENDO, PEDIATRIE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Monsieur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KABAMBA KALUNDA(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GUYLAIN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05 mars 1980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Libreville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Passeport N°PP76787YT7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15 mai 2019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DGDI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BAS DE GUE GUE,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0024174303088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Informaticien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Monsieur KABAMBA KALUNDA( GUYLAIN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Monsieur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KABAMBA KALUNDA( GUYLAIN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janvier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8 624 826 FCFA (huit millions six cent vingt-quatre mille huit cent vingt-six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Mariage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Monsieur KABAMBA KALUNDA( GUYLAIN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KABAMBA KALUNDA(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GUYLAIN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BAS DE GUE GUE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0024174303088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14 septembre 2015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TD 677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Hyundai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I30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TGFSR53Z67FDRE987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13 avril 2015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17 décembre 2024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