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556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77689 T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AMOUSSOU KOFFI GILBERT,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°W23L76789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0024177128190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750 000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27 589 607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 d'une echeance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19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