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Et nulla et in do vi</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Velit dolores elit</w:t>
      </w:r>
      <w:r w:rsidR="00B91698">
        <w:rPr>
          <w:rFonts w:ascii="Times New Roman" w:hAnsi="Times New Roman"/>
          <w:b/>
          <w:bCs/>
          <w:sz w:val="16"/>
          <w:szCs w:val="16"/>
        </w:rPr>
        <w:t xml:space="preserve">, dans la commune de </w:t>
      </w:r>
      <w:r w:rsidRPr="00D26335">
        <w:rPr>
          <w:rFonts w:ascii="Times New Roman" w:hAnsi="Times New Roman"/>
          <w:b/>
          <w:bCs/>
          <w:sz w:val="16"/>
          <w:szCs w:val="16"/>
        </w:rPr>
        <w:t>Vitae voluptatem ab</w:t>
      </w:r>
      <w:r w:rsidR="00B91698">
        <w:rPr>
          <w:rFonts w:ascii="Times New Roman" w:hAnsi="Times New Roman"/>
          <w:sz w:val="16"/>
          <w:szCs w:val="16"/>
        </w:rPr>
        <w:t xml:space="preserve"> BP : </w:t>
      </w:r>
      <w:r w:rsidRPr="005F7455">
        <w:rPr>
          <w:rFonts w:ascii="Times New Roman" w:hAnsi="Times New Roman"/>
          <w:sz w:val="16"/>
          <w:szCs w:val="16"/>
        </w:rPr>
        <w:t>Irure et dolor ducim</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Nesciunt ut accusan</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Facere eu dolorum ve</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Et nulla et in do vi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Mr</w:t>
      </w:r>
      <w:r w:rsidRPr="00D26335">
        <w:rPr>
          <w:rFonts w:ascii="Times New Roman" w:hAnsi="Times New Roman"/>
          <w:b/>
          <w:bCs/>
          <w:sz w:val="16"/>
          <w:szCs w:val="16"/>
        </w:rPr>
        <w:t xml:space="preserve"> Illo quasi voluptate Dolor culpa aut aut,</w:t>
      </w:r>
      <w:r w:rsidRPr="00D26335">
        <w:rPr>
          <w:rFonts w:ascii="Times New Roman" w:hAnsi="Times New Roman"/>
          <w:sz w:val="16"/>
          <w:szCs w:val="16"/>
        </w:rPr>
        <w:t xml:space="preserve"> titulaire </w:t>
      </w:r>
      <w:bookmarkEnd w:id="6"/>
      <w:r w:rsidRPr="00D26335">
        <w:rPr>
          <w:rFonts w:ascii="Times New Roman" w:hAnsi="Times New Roman"/>
          <w:sz w:val="16"/>
          <w:szCs w:val="16"/>
        </w:rPr>
        <w:t>du Carte d'identité nationale N°Voluptatem Aspernat  délivré le 16 octobre 2024, domiciliée à Est autem cupidatat,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Accusantium sequi es</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91</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4</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3,6 % mensuel soit</w:t>
      </w:r>
      <w:r>
        <w:rPr>
          <w:rFonts w:ascii="Times New Roman" w:hAnsi="Times New Roman"/>
          <w:b/>
          <w:sz w:val="16"/>
          <w:szCs w:val="16"/>
        </w:rPr>
        <w:t xml:space="preserve"> 43</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6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7</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16</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15 octobre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187</w:t>
      </w:r>
      <w:r w:rsidR="00D26335">
        <w:rPr>
          <w:rFonts w:ascii="Times New Roman" w:hAnsi="Times New Roman"/>
          <w:b/>
          <w:bCs/>
          <w:sz w:val="16"/>
          <w:szCs w:val="16"/>
        </w:rPr>
        <w:t xml:space="preserve"> </w:t>
      </w:r>
      <w:r w:rsidR="00BF10EE" w:rsidRPr="00734531">
        <w:rPr>
          <w:rFonts w:ascii="Times New Roman" w:hAnsi="Times New Roman"/>
          <w:b/>
          <w:bCs/>
          <w:sz w:val="18"/>
          <w:szCs w:val="18"/>
        </w:rPr>
        <w:t>cent quatre-vingt-six et cinquante-huit</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Consequuntur similiq</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Et nulla et in do vi</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At saepe molestiae e</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04 novembre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