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Neque vero minima ad Nisi omnis culpa ev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12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