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27 août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27 août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Monsieur AMOUSSOU KOFFI KOFFI GILBERT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Monsieur AMOUSSOU KOFFI KOFFI GILBERT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Monsieur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AMOUSSOU KOFFI KOFFI GILBERT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octobre 1982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KPOMASSE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N°GA-LBV-01-2022-A10-00217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27 janvier 2022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ANPI-GABON,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371020002102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0024177128190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Monsieur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AMOUSSOU KOFFI KOFFI GILBERT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10 octobre 1982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KPOMASSE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N°GA-LBV-01-2022-A10-00217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27 janvier 2022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ANPI-GABON,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371020002102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0024177128190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