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04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04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KOFFI 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KOFFI 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Okala carrière,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Akanda, BP : 534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6755 R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KOFFI  GILBERT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°WL23TYUH54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01 décembre 2023,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0024177128190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Okala carrière,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Akanda, BP : 534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6755 R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KOFFI  GILBERT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°WL23TYUH54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01 décembre 2023,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0024177128190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