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22 novembre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22 novembre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Mr KABAMBA KALUNDA GUYLAIN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Mr KABAMBA KALUNDA GUYLAIN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Mr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KABAMBA KALUNDA GUYLAIN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15 mai 1980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LIBREVILLE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d'identité nationale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N°2345TAUE45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14 mars 2019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Force des polices nationale,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BAS DE GUE GUE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371020001479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0024174303088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Mr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KABAMBA KALUNDA GUYLAIN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15 mai 1980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LIBREVILLE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d'identité nationale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N°2345TAUE45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14 mars 2019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Force des polices nationale,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BAS DE GUE GUE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371020001479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0024174303088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