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Monsieur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ALI NOUREDDINE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19 septembre 1986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KFAR ROMMAN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PP765524AZA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19 octobre 2023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OWENDO, PEDIATRIE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371020002136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0024177017474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8 624 826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234 000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15 janvier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15 décembre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17 décembre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