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Eligendi iusto exped Sed similique aliqui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 novembre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Sunt enim sit temp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142 PP 4142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03 novembre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Do et enim incididun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Aut doloribus hic vo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(298) 193-9426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90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75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13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21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04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