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5F" w:rsidRDefault="008A255F" w:rsidP="008A255F">
      <w:pPr>
        <w:pStyle w:val="tx1"/>
      </w:pPr>
    </w:p>
    <w:p w:rsidR="008A255F" w:rsidRDefault="008A255F" w:rsidP="008A255F"/>
    <w:p w:rsidR="008A255F" w:rsidRDefault="008A255F" w:rsidP="008A255F"/>
    <w:p w:rsidR="008A255F" w:rsidRDefault="008A255F" w:rsidP="008A255F"/>
    <w:p w:rsidR="008A255F" w:rsidRDefault="008A255F" w:rsidP="008A255F"/>
    <w:p w:rsidR="008A255F" w:rsidRDefault="008A255F" w:rsidP="008A255F"/>
    <w:p w:rsidR="008A255F" w:rsidRDefault="008A255F" w:rsidP="008A255F"/>
    <w:p w:rsidR="008A255F" w:rsidRDefault="008A255F" w:rsidP="008A255F"/>
    <w:p w:rsidR="000542BD" w:rsidRDefault="000542BD" w:rsidP="008A255F"/>
    <w:p w:rsidR="000542BD" w:rsidRDefault="000542BD" w:rsidP="008A255F"/>
    <w:p w:rsidR="00A5050B" w:rsidRDefault="00A5050B" w:rsidP="008A255F"/>
    <w:p w:rsidR="00A5050B" w:rsidRDefault="00A5050B" w:rsidP="008A255F"/>
    <w:p w:rsidR="00A5050B" w:rsidRDefault="00A5050B" w:rsidP="008A255F"/>
    <w:p w:rsidR="00A5050B" w:rsidRDefault="00A5050B" w:rsidP="008A255F"/>
    <w:p w:rsidR="008A255F" w:rsidRDefault="008A255F" w:rsidP="008A255F"/>
    <w:p w:rsidR="008A255F" w:rsidRDefault="008A255F" w:rsidP="008A255F"/>
    <w:p w:rsidR="008A255F" w:rsidRDefault="008A255F" w:rsidP="008A255F"/>
    <w:p w:rsidR="008A255F" w:rsidRPr="008A255F" w:rsidRDefault="008A255F" w:rsidP="008A255F">
      <w:pPr>
        <w:pStyle w:val="t1"/>
        <w:rPr>
          <w:sz w:val="48"/>
        </w:rPr>
      </w:pPr>
      <w:r w:rsidRPr="008A255F">
        <w:rPr>
          <w:sz w:val="48"/>
        </w:rPr>
        <w:t>Consultas Multitaboa</w:t>
      </w:r>
    </w:p>
    <w:p w:rsidR="008A255F" w:rsidRDefault="008A255F" w:rsidP="008A255F">
      <w:pPr>
        <w:pStyle w:val="tx1"/>
      </w:pPr>
    </w:p>
    <w:p w:rsidR="008A255F" w:rsidRDefault="00260699" w:rsidP="000E0EC9">
      <w:pPr>
        <w:pStyle w:val="indice1"/>
      </w:pPr>
      <w:r w:rsidRPr="005167F9">
        <w:br w:type="page"/>
      </w:r>
    </w:p>
    <w:p w:rsidR="008A255F" w:rsidRDefault="008A255F" w:rsidP="000E0EC9">
      <w:pPr>
        <w:pStyle w:val="indice1"/>
      </w:pPr>
    </w:p>
    <w:p w:rsidR="00260699" w:rsidRPr="00317BB9" w:rsidRDefault="00260699" w:rsidP="000E0EC9">
      <w:pPr>
        <w:pStyle w:val="indice1"/>
      </w:pPr>
      <w:r w:rsidRPr="00317BB9">
        <w:t>Índice</w:t>
      </w:r>
    </w:p>
    <w:p w:rsidR="00D03CF6" w:rsidRDefault="00DF4A6D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DF4A6D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DF4A6D">
        <w:rPr>
          <w:noProof w:val="0"/>
        </w:rPr>
        <w:fldChar w:fldCharType="separate"/>
      </w:r>
      <w:hyperlink w:anchor="_Toc480234085" w:history="1">
        <w:r w:rsidR="00D03CF6" w:rsidRPr="00EB0181">
          <w:rPr>
            <w:rStyle w:val="Hipervnculo"/>
          </w:rPr>
          <w:t>1.</w:t>
        </w:r>
        <w:r w:rsidR="00D03CF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D03CF6" w:rsidRPr="00EB0181">
          <w:rPr>
            <w:rStyle w:val="Hipervnculo"/>
          </w:rPr>
          <w:t>Consultas con datos de máis dunha táboa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03CF6" w:rsidRDefault="00DF4A6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0234086" w:history="1">
        <w:r w:rsidR="00D03CF6" w:rsidRPr="00EB0181">
          <w:rPr>
            <w:rStyle w:val="Hipervnculo"/>
          </w:rPr>
          <w:t>1.1</w:t>
        </w:r>
        <w:r w:rsidR="00D03CF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D03CF6" w:rsidRPr="00EB0181">
          <w:rPr>
            <w:rStyle w:val="Hipervnculo"/>
          </w:rPr>
          <w:t>Consultas con datos de máis dunha táboa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03CF6" w:rsidRDefault="00DF4A6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0234087" w:history="1">
        <w:r w:rsidR="00D03CF6" w:rsidRPr="00EB0181">
          <w:rPr>
            <w:rStyle w:val="Hipervnculo"/>
          </w:rPr>
          <w:t>1.2</w:t>
        </w:r>
        <w:r w:rsidR="00D03CF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D03CF6" w:rsidRPr="00EB0181">
          <w:rPr>
            <w:rStyle w:val="Hipervnculo"/>
          </w:rPr>
          <w:t>Composición de táboas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03CF6" w:rsidRDefault="00DF4A6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234088" w:history="1">
        <w:r w:rsidR="00D03CF6" w:rsidRPr="00EB0181">
          <w:rPr>
            <w:rStyle w:val="Hipervnculo"/>
          </w:rPr>
          <w:t>Nomes de columna cualificados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03CF6" w:rsidRDefault="00DF4A6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234089" w:history="1">
        <w:r w:rsidR="00D03CF6" w:rsidRPr="00EB0181">
          <w:rPr>
            <w:rStyle w:val="Hipervnculo"/>
          </w:rPr>
          <w:t>1.2.1</w:t>
        </w:r>
        <w:r w:rsidR="00D03C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03CF6" w:rsidRPr="00EB0181">
          <w:rPr>
            <w:rStyle w:val="Hipervnculo"/>
          </w:rPr>
          <w:t>Composición interna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03CF6" w:rsidRDefault="00DF4A6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234090" w:history="1">
        <w:r w:rsidR="00D03CF6" w:rsidRPr="00EB0181">
          <w:rPr>
            <w:rStyle w:val="Hipervnculo"/>
          </w:rPr>
          <w:t>Composición interna con INNER JOIN e condición de igualdade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03CF6" w:rsidRDefault="00DF4A6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234091" w:history="1">
        <w:r w:rsidR="00D03CF6" w:rsidRPr="00EB0181">
          <w:rPr>
            <w:rStyle w:val="Hipervnculo"/>
          </w:rPr>
          <w:t>Composición interna con INNER JOIN sen condición de igualdade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03CF6" w:rsidRDefault="00DF4A6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234092" w:history="1">
        <w:r w:rsidR="00D03CF6" w:rsidRPr="00EB0181">
          <w:rPr>
            <w:rStyle w:val="Hipervnculo"/>
          </w:rPr>
          <w:t>1.2.2</w:t>
        </w:r>
        <w:r w:rsidR="00D03C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03CF6" w:rsidRPr="00EB0181">
          <w:rPr>
            <w:rStyle w:val="Hipervnculo"/>
          </w:rPr>
          <w:t>Composición externa con OUTER JOIN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03CF6" w:rsidRDefault="00DF4A6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234093" w:history="1">
        <w:r w:rsidR="00D03CF6" w:rsidRPr="00EB0181">
          <w:rPr>
            <w:rStyle w:val="Hipervnculo"/>
          </w:rPr>
          <w:t>1.2.3</w:t>
        </w:r>
        <w:r w:rsidR="00D03C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03CF6" w:rsidRPr="00EB0181">
          <w:rPr>
            <w:rStyle w:val="Hipervnculo"/>
          </w:rPr>
          <w:t>Composición con NATURAL JOIN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03CF6" w:rsidRDefault="00DF4A6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234094" w:history="1">
        <w:r w:rsidR="00D03CF6" w:rsidRPr="00EB0181">
          <w:rPr>
            <w:rStyle w:val="Hipervnculo"/>
            <w:lang w:val="es-ES"/>
          </w:rPr>
          <w:t>1.2.4</w:t>
        </w:r>
        <w:r w:rsidR="00D03C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03CF6" w:rsidRPr="00EB0181">
          <w:rPr>
            <w:rStyle w:val="Hipervnculo"/>
          </w:rPr>
          <w:t>Composición dunha táboa con ela mesma. Autocomposición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03CF6" w:rsidRDefault="00DF4A6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234095" w:history="1">
        <w:r w:rsidR="00D03CF6" w:rsidRPr="00EB0181">
          <w:rPr>
            <w:rStyle w:val="Hipervnculo"/>
          </w:rPr>
          <w:t>Normas para a realización de composicións internas e externas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03CF6" w:rsidRDefault="00DF4A6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0234096" w:history="1">
        <w:r w:rsidR="00D03CF6" w:rsidRPr="00EB0181">
          <w:rPr>
            <w:rStyle w:val="Hipervnculo"/>
          </w:rPr>
          <w:t>1.3</w:t>
        </w:r>
        <w:r w:rsidR="00D03CF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D03CF6" w:rsidRPr="00EB0181">
          <w:rPr>
            <w:rStyle w:val="Hipervnculo"/>
          </w:rPr>
          <w:t>Unión de consultas (UNION)</w:t>
        </w:r>
        <w:r w:rsidR="00D03CF6">
          <w:rPr>
            <w:webHidden/>
          </w:rPr>
          <w:tab/>
        </w:r>
        <w:r>
          <w:rPr>
            <w:webHidden/>
          </w:rPr>
          <w:fldChar w:fldCharType="begin"/>
        </w:r>
        <w:r w:rsidR="00D03CF6">
          <w:rPr>
            <w:webHidden/>
          </w:rPr>
          <w:instrText xml:space="preserve"> PAGEREF _Toc480234096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3CF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0699" w:rsidRPr="005167F9" w:rsidRDefault="00DF4A6D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0542BD">
      <w:pPr>
        <w:sectPr w:rsidR="00764FEA" w:rsidRPr="00E24593" w:rsidSect="008A255F">
          <w:footerReference w:type="default" r:id="rId9"/>
          <w:endnotePr>
            <w:numFmt w:val="decimal"/>
          </w:endnotePr>
          <w:pgSz w:w="11900" w:h="16840" w:code="9"/>
          <w:pgMar w:top="567" w:right="1134" w:bottom="851" w:left="1134" w:header="731" w:footer="590" w:gutter="0"/>
          <w:cols w:space="720"/>
          <w:rtlGutter/>
          <w:docGrid w:linePitch="326"/>
        </w:sectPr>
      </w:pPr>
      <w:r w:rsidRPr="005167F9">
        <w:br w:type="page"/>
      </w:r>
      <w:bookmarkStart w:id="0" w:name="_GoBack"/>
      <w:bookmarkEnd w:id="0"/>
    </w:p>
    <w:p w:rsidR="002C4196" w:rsidRPr="00E24593" w:rsidRDefault="000542BD" w:rsidP="000542BD">
      <w:pPr>
        <w:pStyle w:val="n1"/>
      </w:pPr>
      <w:bookmarkStart w:id="1" w:name="_Toc480234085"/>
      <w:r>
        <w:lastRenderedPageBreak/>
        <w:t>Consultas con datos de máis dunha táboa</w:t>
      </w:r>
      <w:bookmarkEnd w:id="1"/>
    </w:p>
    <w:p w:rsidR="00F56B78" w:rsidRDefault="0009495C" w:rsidP="000542BD">
      <w:pPr>
        <w:pStyle w:val="n2"/>
      </w:pPr>
      <w:bookmarkStart w:id="2" w:name="_Toc480234086"/>
      <w:r>
        <w:t xml:space="preserve">Consultas </w:t>
      </w:r>
      <w:r w:rsidR="00A609C4">
        <w:t>con</w:t>
      </w:r>
      <w:r>
        <w:t xml:space="preserve"> datos de </w:t>
      </w:r>
      <w:r w:rsidR="00B01B99">
        <w:t>máis</w:t>
      </w:r>
      <w:r>
        <w:t xml:space="preserve"> dunha táboa</w:t>
      </w:r>
      <w:bookmarkEnd w:id="2"/>
    </w:p>
    <w:p w:rsidR="0009495C" w:rsidRDefault="000542BD" w:rsidP="00F67F59">
      <w:pPr>
        <w:pStyle w:val="tx1"/>
      </w:pPr>
      <w:r>
        <w:t xml:space="preserve">A </w:t>
      </w:r>
      <w:r w:rsidR="00A609C4">
        <w:t xml:space="preserve">práctica diaria de consultas sobre </w:t>
      </w:r>
      <w:r w:rsidR="0009495C">
        <w:t xml:space="preserve">unha base de datos </w:t>
      </w:r>
      <w:r w:rsidR="00A609C4">
        <w:t xml:space="preserve">implica frecuentemente </w:t>
      </w:r>
      <w:r w:rsidR="004206C3">
        <w:t xml:space="preserve">a </w:t>
      </w:r>
      <w:r w:rsidR="00B01B99">
        <w:t>máis</w:t>
      </w:r>
      <w:r w:rsidR="0009495C">
        <w:t xml:space="preserve"> d</w:t>
      </w:r>
      <w:r w:rsidR="0009495C">
        <w:t>u</w:t>
      </w:r>
      <w:r w:rsidR="0009495C">
        <w:t xml:space="preserve">nha táboa. </w:t>
      </w:r>
      <w:r w:rsidR="00A609C4">
        <w:t xml:space="preserve">Este tipo de consultas </w:t>
      </w:r>
      <w:r w:rsidR="0009495C">
        <w:t>póde</w:t>
      </w:r>
      <w:r w:rsidR="00A609C4">
        <w:t>nse realizar de varias formas en función d</w:t>
      </w:r>
      <w:r w:rsidR="000038AB">
        <w:t>o requir</w:t>
      </w:r>
      <w:r w:rsidR="000038AB">
        <w:t>i</w:t>
      </w:r>
      <w:r w:rsidR="000038AB">
        <w:t>mento da co</w:t>
      </w:r>
      <w:r w:rsidR="0009495C">
        <w:t>nsulta:</w:t>
      </w:r>
    </w:p>
    <w:p w:rsidR="0009495C" w:rsidRDefault="0009495C" w:rsidP="0009495C">
      <w:pPr>
        <w:pStyle w:val="p1"/>
      </w:pPr>
      <w:r>
        <w:t xml:space="preserve">Utilizar </w:t>
      </w:r>
      <w:r w:rsidR="00E62B96">
        <w:t>composicións</w:t>
      </w:r>
      <w:r>
        <w:t xml:space="preserve"> de táboas nunha sentenza SELECT escribindo unha única co</w:t>
      </w:r>
      <w:r>
        <w:t>n</w:t>
      </w:r>
      <w:r>
        <w:t xml:space="preserve">sulta que utiliza a cláusula JOIN dentro da cláusula FROM. </w:t>
      </w:r>
    </w:p>
    <w:p w:rsidR="00F67F59" w:rsidRDefault="0009495C" w:rsidP="0009495C">
      <w:pPr>
        <w:pStyle w:val="p1"/>
      </w:pPr>
      <w:r>
        <w:t xml:space="preserve">Utilizar sentenzas SELECT </w:t>
      </w:r>
      <w:r w:rsidR="000038AB">
        <w:t>aniñadas</w:t>
      </w:r>
      <w:r>
        <w:t xml:space="preserve"> dentro doutras sentenzas SELECT. As sentenzas </w:t>
      </w:r>
      <w:r w:rsidR="000038AB">
        <w:t>aniñadas</w:t>
      </w:r>
      <w:r w:rsidR="00482BC5">
        <w:t xml:space="preserve"> chámanse subconsultas</w:t>
      </w:r>
      <w:r>
        <w:t>.</w:t>
      </w:r>
    </w:p>
    <w:p w:rsidR="0009495C" w:rsidRDefault="0009495C" w:rsidP="0009495C">
      <w:pPr>
        <w:pStyle w:val="p1"/>
      </w:pPr>
      <w:r>
        <w:t xml:space="preserve">Unindo o conxunto </w:t>
      </w:r>
      <w:r w:rsidR="00ED0F51">
        <w:t>de resultados dunha consulta co conxunto</w:t>
      </w:r>
      <w:r>
        <w:t xml:space="preserve"> de resultados doutras consultas, empregando o operador  UNION.</w:t>
      </w:r>
    </w:p>
    <w:p w:rsidR="0009495C" w:rsidRDefault="000038AB" w:rsidP="000542BD">
      <w:pPr>
        <w:pStyle w:val="n2"/>
      </w:pPr>
      <w:bookmarkStart w:id="3" w:name="_Toc480234087"/>
      <w:r>
        <w:t>Composición</w:t>
      </w:r>
      <w:r w:rsidR="0009495C">
        <w:t xml:space="preserve"> de táboas</w:t>
      </w:r>
      <w:bookmarkEnd w:id="3"/>
    </w:p>
    <w:p w:rsidR="005E2A36" w:rsidRDefault="000038AB" w:rsidP="000038AB">
      <w:pPr>
        <w:pStyle w:val="tx1"/>
      </w:pPr>
      <w:r>
        <w:t>A</w:t>
      </w:r>
      <w:r w:rsidR="006E055B">
        <w:t xml:space="preserve">s primeiras normas ANSI SQL para combinar varias táboas nunha consulta </w:t>
      </w:r>
      <w:r>
        <w:t xml:space="preserve">permitían </w:t>
      </w:r>
      <w:r w:rsidR="006E055B">
        <w:t xml:space="preserve">poñer a relación das táboas na cláusula FROM separadas por coma, e </w:t>
      </w:r>
      <w:r w:rsidR="00ED0F51">
        <w:t xml:space="preserve">as condicións para facer os enlaces entre as táboas </w:t>
      </w:r>
      <w:r w:rsidR="006E055B">
        <w:t xml:space="preserve">na cláusula WHERE. Esta sintaxe sigue estando permitida hoxe en día, aínda que non é a </w:t>
      </w:r>
      <w:r w:rsidR="00B01B99">
        <w:t>máis</w:t>
      </w:r>
      <w:r w:rsidR="006E055B">
        <w:t xml:space="preserve"> recomendable.</w:t>
      </w:r>
      <w:r>
        <w:t xml:space="preserve"> </w:t>
      </w:r>
    </w:p>
    <w:p w:rsidR="006E055B" w:rsidRDefault="005E2A36" w:rsidP="005E2A36">
      <w:r>
        <w:t xml:space="preserve">Exemplo: </w:t>
      </w:r>
      <w:r w:rsidR="000038AB">
        <w:t>s</w:t>
      </w:r>
      <w:r w:rsidR="006E055B">
        <w:t>eleccionar</w:t>
      </w:r>
      <w:r w:rsidR="00ED0F51">
        <w:t xml:space="preserve"> apelidos, nome </w:t>
      </w:r>
      <w:r w:rsidR="006E055B" w:rsidRPr="0009495C">
        <w:t xml:space="preserve">e cidade </w:t>
      </w:r>
      <w:r w:rsidR="000038AB">
        <w:t>d</w:t>
      </w:r>
      <w:r w:rsidR="006E055B" w:rsidRPr="0009495C">
        <w:t>os empregados que estean asignados a un departamento</w:t>
      </w:r>
      <w:r w:rsidR="000038AB">
        <w:t>, tendo en conta que a</w:t>
      </w:r>
      <w:r w:rsidR="006E055B" w:rsidRPr="0009495C">
        <w:t xml:space="preserve"> cidade é </w:t>
      </w:r>
      <w:r w:rsidR="00ED0F51">
        <w:t xml:space="preserve">a cidade </w:t>
      </w:r>
      <w:r w:rsidR="006E055B" w:rsidRPr="0009495C">
        <w:t xml:space="preserve">na </w:t>
      </w:r>
      <w:r w:rsidR="003B7625">
        <w:t xml:space="preserve">que </w:t>
      </w:r>
      <w:r w:rsidR="006E055B" w:rsidRPr="0009495C">
        <w:t>está situado o departame</w:t>
      </w:r>
      <w:r w:rsidR="006E055B" w:rsidRPr="0009495C">
        <w:t>n</w:t>
      </w:r>
      <w:r w:rsidR="006E055B" w:rsidRPr="0009495C">
        <w:t>to no que traballa</w:t>
      </w:r>
      <w:r w:rsidR="000038AB">
        <w:t xml:space="preserve"> o empregado</w:t>
      </w:r>
      <w:r>
        <w:t>.</w:t>
      </w:r>
    </w:p>
    <w:p w:rsidR="006E055B" w:rsidRPr="00AF0D47" w:rsidRDefault="000038AB" w:rsidP="006E055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 Enlace entre dú</w:t>
      </w:r>
      <w:r w:rsidR="006E055B"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>as táboas utilizando unha clave foránea*/</w:t>
      </w:r>
    </w:p>
    <w:p w:rsidR="006E055B" w:rsidRPr="00AF0D47" w:rsidRDefault="006E055B" w:rsidP="006E055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</w:p>
    <w:p w:rsidR="006E055B" w:rsidRPr="00AF0D47" w:rsidRDefault="006E055B" w:rsidP="006E055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E055B" w:rsidRDefault="006E055B" w:rsidP="006E055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E055B" w:rsidRDefault="00ED0F51" w:rsidP="006E055B">
      <w:pPr>
        <w:pStyle w:val="tx1"/>
      </w:pPr>
      <w:r>
        <w:t>A primeira operación que se realiza cunha sentenza como a anterior na que s</w:t>
      </w:r>
      <w:r w:rsidR="006E055B" w:rsidRPr="0009495C">
        <w:t>e fa</w:t>
      </w:r>
      <w:r w:rsidR="006E055B">
        <w:t>i refere</w:t>
      </w:r>
      <w:r w:rsidR="006E055B">
        <w:t>n</w:t>
      </w:r>
      <w:r w:rsidR="006E055B">
        <w:t xml:space="preserve">cia a </w:t>
      </w:r>
      <w:r w:rsidR="00B01B99">
        <w:t>máis</w:t>
      </w:r>
      <w:r w:rsidR="006E055B">
        <w:t xml:space="preserve"> dunha táboa</w:t>
      </w:r>
      <w:r w:rsidR="006E055B" w:rsidRPr="0009495C">
        <w:t xml:space="preserve"> na cláusula FROM, é o produto cartesiano entre esas táboas, é d</w:t>
      </w:r>
      <w:r w:rsidR="006E055B" w:rsidRPr="0009495C">
        <w:t>i</w:t>
      </w:r>
      <w:r w:rsidR="006E055B" w:rsidRPr="0009495C">
        <w:t xml:space="preserve">cir, </w:t>
      </w:r>
      <w:r w:rsidR="006E055B">
        <w:t>relaciona cada fila dunha táboa</w:t>
      </w:r>
      <w:r w:rsidR="006E055B" w:rsidRPr="0009495C">
        <w:t xml:space="preserve"> con todas as filas da outra táboa. </w:t>
      </w:r>
      <w:r w:rsidR="006E055B">
        <w:t>P</w:t>
      </w:r>
      <w:r w:rsidR="006E055B" w:rsidRPr="0009495C">
        <w:t xml:space="preserve">or iso </w:t>
      </w:r>
      <w:r w:rsidR="006E055B">
        <w:t>despois hai</w:t>
      </w:r>
      <w:r w:rsidR="006E055B" w:rsidRPr="0009495C">
        <w:t xml:space="preserve"> que poñer a condición de enlace na cláusula WHERE para que </w:t>
      </w:r>
      <w:r>
        <w:t xml:space="preserve">se </w:t>
      </w:r>
      <w:r w:rsidR="006E055B" w:rsidRPr="0009495C">
        <w:t>seleccione</w:t>
      </w:r>
      <w:r>
        <w:t>n</w:t>
      </w:r>
      <w:r w:rsidR="006E055B" w:rsidRPr="0009495C">
        <w:t xml:space="preserve"> só aquelas </w:t>
      </w:r>
      <w:r w:rsidR="00E62B96">
        <w:t>composicións</w:t>
      </w:r>
      <w:r w:rsidR="006E055B" w:rsidRPr="0009495C">
        <w:t xml:space="preserve"> de filas que nos interesan.</w:t>
      </w:r>
      <w:r w:rsidR="006E055B">
        <w:t xml:space="preserve"> </w:t>
      </w:r>
    </w:p>
    <w:p w:rsidR="00EC7720" w:rsidRDefault="00EC7720" w:rsidP="00EC7720">
      <w:pPr>
        <w:ind w:firstLine="0"/>
      </w:pPr>
    </w:p>
    <w:p w:rsidR="005E2A36" w:rsidRPr="006E055B" w:rsidRDefault="005E2A36" w:rsidP="00EC7720">
      <w:pPr>
        <w:ind w:firstLine="0"/>
      </w:pPr>
      <w:r>
        <w:t xml:space="preserve">O número de filas que devolve a consulta </w:t>
      </w:r>
      <w:r w:rsidR="00ED0F51">
        <w:t xml:space="preserve">do exemplo </w:t>
      </w:r>
      <w:r>
        <w:t>é 19</w:t>
      </w:r>
      <w:r w:rsidR="004206C3">
        <w:t xml:space="preserve"> tal e como se observa na imaxe seguinte</w:t>
      </w:r>
      <w:r>
        <w:t xml:space="preserve">, a pesar de que hai 20 empregados. Isto é debido a que hai un empregado que ten na columna </w:t>
      </w:r>
      <w:r w:rsidRPr="00720432">
        <w:rPr>
          <w:i/>
        </w:rPr>
        <w:t>departamento</w:t>
      </w:r>
      <w:r>
        <w:t xml:space="preserve"> o valor NULL, por non estar asignado a ningún departamento, e non se pode combinar con ningunha fila da táboa </w:t>
      </w:r>
      <w:r w:rsidRPr="00720432">
        <w:rPr>
          <w:i/>
        </w:rPr>
        <w:t>departamento</w:t>
      </w:r>
      <w:r>
        <w:t xml:space="preserve"> porque a columna </w:t>
      </w:r>
      <w:r w:rsidRPr="00720432">
        <w:rPr>
          <w:i/>
        </w:rPr>
        <w:t>código</w:t>
      </w:r>
      <w:r>
        <w:t xml:space="preserve"> é clave primaria e non pode ter o valor NULL.</w:t>
      </w:r>
    </w:p>
    <w:p w:rsidR="006E055B" w:rsidRPr="00296140" w:rsidRDefault="00B217EF" w:rsidP="006E055B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2080095" cy="18470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973" cy="184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5B" w:rsidRDefault="006E055B" w:rsidP="00EC7720">
      <w:pPr>
        <w:pStyle w:val="formula1"/>
        <w:ind w:left="0"/>
      </w:pPr>
    </w:p>
    <w:p w:rsidR="00CC6B5D" w:rsidRDefault="005411DE" w:rsidP="00CC6B5D">
      <w:pPr>
        <w:pStyle w:val="tx1"/>
      </w:pPr>
      <w:r>
        <w:t xml:space="preserve">A </w:t>
      </w:r>
      <w:r w:rsidR="004206C3">
        <w:t xml:space="preserve">sintaxe das composicións de táboas cambia a </w:t>
      </w:r>
      <w:r>
        <w:t>partir da norma ANSI92</w:t>
      </w:r>
      <w:r w:rsidR="000038AB">
        <w:t>,</w:t>
      </w:r>
      <w:r>
        <w:t xml:space="preserve"> </w:t>
      </w:r>
      <w:r w:rsidR="004206C3">
        <w:t xml:space="preserve">para poñer </w:t>
      </w:r>
      <w:r w:rsidR="000038AB">
        <w:t xml:space="preserve">as condicións de enlace na cláusula FROM xunto coa relación de táboas, </w:t>
      </w:r>
      <w:r>
        <w:t>coa finalidade de deixar a cláusula WHERE para as condicións que deben cumprir as filas que hai que mo</w:t>
      </w:r>
      <w:r>
        <w:t>s</w:t>
      </w:r>
      <w:r w:rsidR="000038AB">
        <w:t>trar</w:t>
      </w:r>
      <w:r>
        <w:t>.</w:t>
      </w:r>
      <w:r w:rsidR="001D22E7">
        <w:t xml:space="preserve"> </w:t>
      </w:r>
    </w:p>
    <w:p w:rsidR="0056002F" w:rsidRPr="006338D9" w:rsidRDefault="000A0814" w:rsidP="006338D9">
      <w:r>
        <w:t xml:space="preserve">Neste tema </w:t>
      </w:r>
      <w:r w:rsidR="0056002F">
        <w:t>utiliza</w:t>
      </w:r>
      <w:r>
        <w:t>mos</w:t>
      </w:r>
      <w:r w:rsidR="0056002F">
        <w:t xml:space="preserve"> a sintaxe que recomenda a norma ANSI92 por ser máis eficiente e estruturar mellor o código das consultas.</w:t>
      </w:r>
    </w:p>
    <w:tbl>
      <w:tblPr>
        <w:tblW w:w="4391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892"/>
        <w:gridCol w:w="3119"/>
        <w:gridCol w:w="2552"/>
      </w:tblGrid>
      <w:tr w:rsidR="00265140" w:rsidRPr="00E24593" w:rsidTr="00E77352">
        <w:tc>
          <w:tcPr>
            <w:tcW w:w="8563" w:type="dxa"/>
            <w:gridSpan w:val="3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65140" w:rsidRPr="00E24593" w:rsidRDefault="00265140" w:rsidP="00265140">
            <w:pPr>
              <w:pStyle w:val="tt1cn"/>
            </w:pPr>
            <w:r>
              <w:t>Resumo de tipo de composición máis utilizados</w:t>
            </w:r>
          </w:p>
        </w:tc>
      </w:tr>
      <w:tr w:rsidR="00265140" w:rsidRPr="00E24593" w:rsidTr="00E77352">
        <w:tc>
          <w:tcPr>
            <w:tcW w:w="2892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65140" w:rsidRPr="00785309" w:rsidRDefault="00265140" w:rsidP="002D40D9">
            <w:pPr>
              <w:pStyle w:val="tt1n"/>
              <w:rPr>
                <w:sz w:val="20"/>
              </w:rPr>
            </w:pPr>
            <w:r>
              <w:t>Composición</w:t>
            </w:r>
            <w:r w:rsidRPr="0009495C">
              <w:t xml:space="preserve"> interna </w:t>
            </w: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265140" w:rsidRPr="00785309" w:rsidRDefault="00C35A4A" w:rsidP="002D40D9">
            <w:pPr>
              <w:pStyle w:val="tt1"/>
            </w:pPr>
            <w:r>
              <w:t xml:space="preserve">INNER JOIN </w:t>
            </w:r>
            <w:r w:rsidR="00265140" w:rsidRPr="0009495C">
              <w:t>con condición de igualdade</w:t>
            </w:r>
          </w:p>
          <w:p w:rsidR="00C35A4A" w:rsidRPr="00866B9A" w:rsidRDefault="00C35A4A" w:rsidP="002D40D9">
            <w:pPr>
              <w:pStyle w:val="tt1"/>
            </w:pPr>
            <w:r>
              <w:t xml:space="preserve">INNER JOIN </w:t>
            </w:r>
            <w:r w:rsidR="00265140" w:rsidRPr="0009495C">
              <w:t>sen condición de igualdade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65140" w:rsidRPr="00785309" w:rsidRDefault="00265140" w:rsidP="002D40D9">
            <w:pPr>
              <w:pStyle w:val="tt1"/>
              <w:rPr>
                <w:sz w:val="20"/>
              </w:rPr>
            </w:pPr>
          </w:p>
        </w:tc>
      </w:tr>
      <w:tr w:rsidR="00265140" w:rsidRPr="00E24593" w:rsidTr="00E77352">
        <w:tc>
          <w:tcPr>
            <w:tcW w:w="2892" w:type="dxa"/>
            <w:shd w:val="clear" w:color="auto" w:fill="auto"/>
            <w:noWrap/>
          </w:tcPr>
          <w:p w:rsidR="00265140" w:rsidRPr="00785309" w:rsidRDefault="00265140" w:rsidP="002D40D9">
            <w:pPr>
              <w:pStyle w:val="tt1n"/>
              <w:rPr>
                <w:sz w:val="20"/>
              </w:rPr>
            </w:pPr>
            <w:r>
              <w:t>Composición</w:t>
            </w:r>
            <w:r w:rsidRPr="0009495C">
              <w:t xml:space="preserve"> externa </w:t>
            </w:r>
          </w:p>
        </w:tc>
        <w:tc>
          <w:tcPr>
            <w:tcW w:w="3119" w:type="dxa"/>
          </w:tcPr>
          <w:p w:rsidR="00C35A4A" w:rsidRPr="00785309" w:rsidRDefault="00C35A4A" w:rsidP="00C35A4A">
            <w:pPr>
              <w:pStyle w:val="tt1"/>
            </w:pPr>
            <w:r w:rsidRPr="0009495C">
              <w:t>LEFT</w:t>
            </w:r>
            <w:r w:rsidR="009934E7">
              <w:t xml:space="preserve"> </w:t>
            </w:r>
            <w:r w:rsidR="009934E7" w:rsidRPr="0009495C">
              <w:t>OUTER</w:t>
            </w:r>
          </w:p>
          <w:p w:rsidR="00265140" w:rsidRPr="009934E7" w:rsidRDefault="00C35A4A" w:rsidP="009934E7">
            <w:pPr>
              <w:pStyle w:val="tt1"/>
            </w:pPr>
            <w:r w:rsidRPr="0009495C">
              <w:t>RIGTH</w:t>
            </w:r>
            <w:r w:rsidR="009934E7">
              <w:t xml:space="preserve"> </w:t>
            </w:r>
            <w:r w:rsidR="009934E7" w:rsidRPr="0009495C">
              <w:t>OUTER</w:t>
            </w:r>
          </w:p>
        </w:tc>
        <w:tc>
          <w:tcPr>
            <w:tcW w:w="2552" w:type="dxa"/>
            <w:shd w:val="clear" w:color="auto" w:fill="auto"/>
            <w:noWrap/>
          </w:tcPr>
          <w:p w:rsidR="00C35A4A" w:rsidRPr="00785309" w:rsidRDefault="00C35A4A" w:rsidP="00C35A4A">
            <w:pPr>
              <w:pStyle w:val="tt1"/>
            </w:pPr>
            <w:r>
              <w:t>Prioridade e</w:t>
            </w:r>
            <w:r w:rsidRPr="0009495C">
              <w:t>squerda</w:t>
            </w:r>
          </w:p>
          <w:p w:rsidR="00265140" w:rsidRPr="009934E7" w:rsidRDefault="00C35A4A" w:rsidP="00C35A4A">
            <w:pPr>
              <w:pStyle w:val="tt1"/>
            </w:pPr>
            <w:r>
              <w:t>Prioridade d</w:t>
            </w:r>
            <w:r w:rsidRPr="0009495C">
              <w:t>ereita</w:t>
            </w:r>
          </w:p>
        </w:tc>
      </w:tr>
      <w:tr w:rsidR="009934E7" w:rsidRPr="00E24593" w:rsidTr="00E77352">
        <w:tc>
          <w:tcPr>
            <w:tcW w:w="2892" w:type="dxa"/>
            <w:shd w:val="clear" w:color="auto" w:fill="auto"/>
            <w:noWrap/>
          </w:tcPr>
          <w:p w:rsidR="009934E7" w:rsidRPr="00785309" w:rsidRDefault="009934E7" w:rsidP="009934E7">
            <w:pPr>
              <w:pStyle w:val="tt1n"/>
              <w:rPr>
                <w:sz w:val="20"/>
              </w:rPr>
            </w:pPr>
            <w:r>
              <w:t>Composición</w:t>
            </w:r>
            <w:r w:rsidRPr="0009495C">
              <w:t xml:space="preserve"> </w:t>
            </w:r>
            <w:r>
              <w:t>natural</w:t>
            </w:r>
            <w:r w:rsidRPr="0009495C">
              <w:t xml:space="preserve"> </w:t>
            </w:r>
          </w:p>
        </w:tc>
        <w:tc>
          <w:tcPr>
            <w:tcW w:w="3119" w:type="dxa"/>
          </w:tcPr>
          <w:p w:rsidR="009934E7" w:rsidRPr="0009495C" w:rsidRDefault="009934E7" w:rsidP="00C35A4A">
            <w:pPr>
              <w:pStyle w:val="tt1"/>
            </w:pPr>
            <w:r>
              <w:t>NATURAL JOIN</w:t>
            </w:r>
          </w:p>
        </w:tc>
        <w:tc>
          <w:tcPr>
            <w:tcW w:w="2552" w:type="dxa"/>
            <w:shd w:val="clear" w:color="auto" w:fill="auto"/>
            <w:noWrap/>
          </w:tcPr>
          <w:p w:rsidR="009934E7" w:rsidRDefault="009934E7" w:rsidP="00C35A4A">
            <w:pPr>
              <w:pStyle w:val="tt1"/>
            </w:pPr>
            <w:r>
              <w:t>Pode ser interna ou externa</w:t>
            </w:r>
          </w:p>
        </w:tc>
      </w:tr>
      <w:tr w:rsidR="009934E7" w:rsidRPr="00E24593" w:rsidTr="00E77352">
        <w:tc>
          <w:tcPr>
            <w:tcW w:w="2892" w:type="dxa"/>
            <w:shd w:val="clear" w:color="auto" w:fill="auto"/>
            <w:noWrap/>
          </w:tcPr>
          <w:p w:rsidR="009934E7" w:rsidRPr="00785309" w:rsidRDefault="009934E7" w:rsidP="002D40D9">
            <w:pPr>
              <w:pStyle w:val="tt1n"/>
              <w:rPr>
                <w:sz w:val="20"/>
              </w:rPr>
            </w:pPr>
            <w:r w:rsidRPr="0009495C">
              <w:t>Auto</w:t>
            </w:r>
            <w:r w:rsidR="00F14DE1">
              <w:t>c</w:t>
            </w:r>
            <w:r>
              <w:t>omposición</w:t>
            </w:r>
          </w:p>
        </w:tc>
        <w:tc>
          <w:tcPr>
            <w:tcW w:w="3119" w:type="dxa"/>
          </w:tcPr>
          <w:p w:rsidR="009934E7" w:rsidRPr="0009495C" w:rsidRDefault="009934E7" w:rsidP="002D40D9">
            <w:pPr>
              <w:pStyle w:val="tt1"/>
              <w:rPr>
                <w:sz w:val="20"/>
              </w:rPr>
            </w:pPr>
            <w:r>
              <w:t>Composición</w:t>
            </w:r>
            <w:r w:rsidRPr="0009495C">
              <w:t xml:space="preserve"> dunha táboa consigo mesma</w:t>
            </w:r>
          </w:p>
        </w:tc>
        <w:tc>
          <w:tcPr>
            <w:tcW w:w="2552" w:type="dxa"/>
            <w:shd w:val="clear" w:color="auto" w:fill="auto"/>
            <w:noWrap/>
          </w:tcPr>
          <w:p w:rsidR="009934E7" w:rsidRPr="00785309" w:rsidRDefault="009934E7" w:rsidP="002D40D9">
            <w:pPr>
              <w:pStyle w:val="tt1"/>
              <w:rPr>
                <w:sz w:val="20"/>
              </w:rPr>
            </w:pPr>
            <w:r w:rsidRPr="0009495C">
              <w:t>Utilizando alias de táboas</w:t>
            </w:r>
          </w:p>
        </w:tc>
      </w:tr>
    </w:tbl>
    <w:p w:rsidR="00866B9A" w:rsidRDefault="00866B9A" w:rsidP="00866B9A">
      <w:pPr>
        <w:pStyle w:val="n5"/>
      </w:pPr>
      <w:bookmarkStart w:id="4" w:name="__RefHeading__60841_2017338258"/>
      <w:bookmarkStart w:id="5" w:name="_Toc480234088"/>
      <w:bookmarkEnd w:id="4"/>
      <w:r>
        <w:t>Nomes de columna cualificados</w:t>
      </w:r>
      <w:bookmarkEnd w:id="5"/>
    </w:p>
    <w:p w:rsidR="00866B9A" w:rsidRDefault="00866B9A" w:rsidP="00866B9A">
      <w:pPr>
        <w:pStyle w:val="tx1"/>
      </w:pPr>
      <w:r>
        <w:t>Nas combinacións de tipo interna, externa e autocomposición, hai que ter moi en conta que pode haber columnas que teñan o mesmo nome en dúas ou</w:t>
      </w:r>
      <w:r w:rsidR="007E7C96">
        <w:t xml:space="preserve"> máis </w:t>
      </w:r>
      <w:r>
        <w:t xml:space="preserve">táboas. Cando sucede isto é obrigatorio cualificar os nomes das columnas, utilizando o formato </w:t>
      </w:r>
      <w:r w:rsidRPr="00866B9A">
        <w:rPr>
          <w:i/>
        </w:rPr>
        <w:t>n</w:t>
      </w:r>
      <w:r w:rsidRPr="00866B9A">
        <w:rPr>
          <w:i/>
        </w:rPr>
        <w:t>o</w:t>
      </w:r>
      <w:r w:rsidRPr="00866B9A">
        <w:rPr>
          <w:i/>
        </w:rPr>
        <w:t>me_táboa.nome_columna</w:t>
      </w:r>
      <w:r>
        <w:t>,  para evitar erros producidos polo uso de nomes ambiguos.</w:t>
      </w:r>
    </w:p>
    <w:p w:rsidR="003F6C01" w:rsidRDefault="00866B9A" w:rsidP="00866B9A">
      <w:r>
        <w:t>Tamén é recomendable utilizar os nomes de columna cualificados para mellorar o re</w:t>
      </w:r>
      <w:r>
        <w:t>n</w:t>
      </w:r>
      <w:r>
        <w:t>demento da consulta, porque proporcionan informaci</w:t>
      </w:r>
      <w:r w:rsidR="005A50D1">
        <w:t>ón a o servidor que desta ma</w:t>
      </w:r>
      <w:r>
        <w:t>neira non ten que buscar a que táboa pertence cada columna.</w:t>
      </w:r>
      <w:r w:rsidR="005A50D1">
        <w:t xml:space="preserve"> </w:t>
      </w:r>
      <w:r w:rsidR="003F6C01">
        <w:t xml:space="preserve">Para </w:t>
      </w:r>
      <w:r w:rsidR="005A50D1">
        <w:t>simplificar o uso de nomes cualificados e que estes sexan</w:t>
      </w:r>
      <w:r w:rsidR="007E7C96">
        <w:t xml:space="preserve"> máis </w:t>
      </w:r>
      <w:r w:rsidR="005A50D1">
        <w:t>curtos, recoméndase utilizar alias para os nomes de t</w:t>
      </w:r>
      <w:r w:rsidR="005A50D1">
        <w:t>á</w:t>
      </w:r>
      <w:r w:rsidR="005A50D1">
        <w:t>boa. Exemplo:</w:t>
      </w:r>
    </w:p>
    <w:p w:rsidR="008E3913" w:rsidRPr="00AF0D47" w:rsidRDefault="008E3913" w:rsidP="008E391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E3913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</w:p>
    <w:p w:rsidR="008E3913" w:rsidRPr="00AF0D47" w:rsidRDefault="008E3913" w:rsidP="008E391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8E3913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as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</w:p>
    <w:p w:rsidR="008E3913" w:rsidRDefault="008E3913" w:rsidP="008E391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9495C" w:rsidRDefault="00CB6FCC" w:rsidP="000542BD">
      <w:pPr>
        <w:pStyle w:val="n3"/>
      </w:pPr>
      <w:bookmarkStart w:id="6" w:name="_Toc480234089"/>
      <w:r>
        <w:t>Composición interna</w:t>
      </w:r>
      <w:bookmarkEnd w:id="6"/>
    </w:p>
    <w:p w:rsidR="0056002F" w:rsidRDefault="0056002F" w:rsidP="0056002F">
      <w:pPr>
        <w:pStyle w:val="tx1"/>
      </w:pPr>
      <w:r>
        <w:t>A composición interna crea unha táboa que contén todas as columnas das táboas que fo</w:t>
      </w:r>
      <w:r>
        <w:t>r</w:t>
      </w:r>
      <w:r>
        <w:t>man a composición e só as filas que cumpren as condicións da composición.</w:t>
      </w:r>
    </w:p>
    <w:p w:rsidR="0056002F" w:rsidRPr="0056002F" w:rsidRDefault="00E94CAD" w:rsidP="0056002F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752475" cy="538163"/>
            <wp:effectExtent l="19050" t="0" r="9525" b="0"/>
            <wp:docPr id="5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3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5C" w:rsidRPr="0009495C" w:rsidRDefault="00CB6FCC" w:rsidP="0009495C">
      <w:pPr>
        <w:pStyle w:val="n5"/>
      </w:pPr>
      <w:bookmarkStart w:id="7" w:name="_Toc480234090"/>
      <w:r>
        <w:lastRenderedPageBreak/>
        <w:t>Composición</w:t>
      </w:r>
      <w:r w:rsidR="0009495C" w:rsidRPr="0009495C">
        <w:t xml:space="preserve"> </w:t>
      </w:r>
      <w:r w:rsidR="00C35A4A">
        <w:t>interna</w:t>
      </w:r>
      <w:r w:rsidR="0009495C" w:rsidRPr="0009495C">
        <w:t xml:space="preserve"> </w:t>
      </w:r>
      <w:r w:rsidR="006D7E94">
        <w:t xml:space="preserve">con </w:t>
      </w:r>
      <w:r w:rsidR="0056002F">
        <w:t>INNER JOIN e condición de igualdade</w:t>
      </w:r>
      <w:bookmarkEnd w:id="7"/>
    </w:p>
    <w:p w:rsidR="000049CB" w:rsidRDefault="00942823" w:rsidP="00CB6FCC">
      <w:pPr>
        <w:pStyle w:val="tx1"/>
      </w:pPr>
      <w:r>
        <w:t xml:space="preserve">Este tipo de </w:t>
      </w:r>
      <w:r w:rsidR="003B7625">
        <w:t>c</w:t>
      </w:r>
      <w:r w:rsidR="00CB6FCC">
        <w:t>omposición</w:t>
      </w:r>
      <w:r>
        <w:t xml:space="preserve"> é a </w:t>
      </w:r>
      <w:r w:rsidR="00B01B99">
        <w:t>máis</w:t>
      </w:r>
      <w:r>
        <w:t xml:space="preserve"> utiliza</w:t>
      </w:r>
      <w:r w:rsidR="00265140">
        <w:t xml:space="preserve">da </w:t>
      </w:r>
      <w:r w:rsidR="0009495C" w:rsidRPr="0009495C">
        <w:t xml:space="preserve">e permite relacionar dúas táboas que teñen </w:t>
      </w:r>
      <w:r>
        <w:t>a</w:t>
      </w:r>
      <w:r>
        <w:t>l</w:t>
      </w:r>
      <w:r>
        <w:t>gunha</w:t>
      </w:r>
      <w:r w:rsidR="0009495C" w:rsidRPr="0009495C">
        <w:t xml:space="preserve"> colum</w:t>
      </w:r>
      <w:r w:rsidR="00BD5E63">
        <w:t>na con datos comúns</w:t>
      </w:r>
      <w:r w:rsidR="0009495C" w:rsidRPr="0009495C">
        <w:t xml:space="preserve"> </w:t>
      </w:r>
      <w:r w:rsidR="00BD5E63">
        <w:t>qu</w:t>
      </w:r>
      <w:r>
        <w:t>e</w:t>
      </w:r>
      <w:r w:rsidR="0009495C" w:rsidRPr="0009495C">
        <w:t xml:space="preserve"> serve de enlace entre elas. O caso </w:t>
      </w:r>
      <w:r w:rsidR="00B01B99">
        <w:t>máis</w:t>
      </w:r>
      <w:r w:rsidR="0009495C" w:rsidRPr="0009495C">
        <w:t xml:space="preserve"> normal é o que </w:t>
      </w:r>
      <w:r w:rsidR="00265140">
        <w:t xml:space="preserve">establecen </w:t>
      </w:r>
      <w:r w:rsidR="0009495C" w:rsidRPr="0009495C">
        <w:t xml:space="preserve">as claves </w:t>
      </w:r>
      <w:r>
        <w:t>foráneas</w:t>
      </w:r>
      <w:r w:rsidR="0009495C" w:rsidRPr="0009495C">
        <w:t xml:space="preserve"> dunha táboa, que toman valores que teñen que coincidir </w:t>
      </w:r>
      <w:r w:rsidR="00CB6FCC">
        <w:t>cos valores da clave primaria d</w:t>
      </w:r>
      <w:r w:rsidR="0009495C" w:rsidRPr="0009495C">
        <w:t xml:space="preserve">outra táboa. Esta </w:t>
      </w:r>
      <w:r w:rsidR="003B7625">
        <w:t>c</w:t>
      </w:r>
      <w:r w:rsidR="00CB6FCC">
        <w:t>omposición</w:t>
      </w:r>
      <w:r w:rsidR="0009495C" w:rsidRPr="0009495C">
        <w:t xml:space="preserve"> </w:t>
      </w:r>
      <w:r w:rsidR="00CB6FCC">
        <w:t>dá</w:t>
      </w:r>
      <w:r w:rsidR="0009495C" w:rsidRPr="0009495C">
        <w:t xml:space="preserve"> como resultado o conxu</w:t>
      </w:r>
      <w:r w:rsidR="0009495C" w:rsidRPr="0009495C">
        <w:t>n</w:t>
      </w:r>
      <w:r w:rsidR="0009495C" w:rsidRPr="0009495C">
        <w:t xml:space="preserve">to formado polas parellas de filas das dúas táboas que interveñen na </w:t>
      </w:r>
      <w:r w:rsidR="00CB6FCC">
        <w:t>composición</w:t>
      </w:r>
      <w:r w:rsidR="0009495C" w:rsidRPr="0009495C">
        <w:t xml:space="preserve">, que cumpran a condición de que o valor da clave </w:t>
      </w:r>
      <w:r w:rsidR="006338D9">
        <w:t>foránea</w:t>
      </w:r>
      <w:r w:rsidR="0009495C" w:rsidRPr="0009495C">
        <w:t xml:space="preserve"> dunha se</w:t>
      </w:r>
      <w:r w:rsidR="009E4D3D">
        <w:t>x</w:t>
      </w:r>
      <w:r w:rsidR="0009495C" w:rsidRPr="0009495C">
        <w:t xml:space="preserve">a igual ao valor da clave primaria da outra. </w:t>
      </w:r>
      <w:r w:rsidR="001F6C27">
        <w:t>As columnas de enlace deben ter asociados índices para optimizar o rendemento da consulta.</w:t>
      </w:r>
    </w:p>
    <w:p w:rsidR="0009495C" w:rsidRPr="0009495C" w:rsidRDefault="00CB6FCC" w:rsidP="006E055B">
      <w:pPr>
        <w:pStyle w:val="tx1"/>
        <w:rPr>
          <w:sz w:val="20"/>
        </w:rPr>
      </w:pPr>
      <w:r>
        <w:t>A s</w:t>
      </w:r>
      <w:r w:rsidR="0009495C" w:rsidRPr="0009495C">
        <w:t>intaxe utilizada na norma ANSI92 para a reunión inter</w:t>
      </w:r>
      <w:r w:rsidR="00506C90">
        <w:t>na</w:t>
      </w:r>
      <w:r>
        <w:t xml:space="preserve"> é:</w:t>
      </w:r>
    </w:p>
    <w:p w:rsidR="0009495C" w:rsidRPr="0009495C" w:rsidRDefault="0009495C" w:rsidP="0009495C">
      <w:pPr>
        <w:pStyle w:val="Codigo"/>
        <w:rPr>
          <w:sz w:val="20"/>
          <w:szCs w:val="20"/>
        </w:rPr>
      </w:pPr>
      <w:r w:rsidRPr="0009495C">
        <w:t>FROM nome_táboa_1 [ INNER ] JOIN nome_táboa_2</w:t>
      </w:r>
    </w:p>
    <w:p w:rsidR="0009495C" w:rsidRDefault="0009495C" w:rsidP="0009495C">
      <w:pPr>
        <w:pStyle w:val="Codigo"/>
      </w:pPr>
      <w:r w:rsidRPr="0009495C">
        <w:t>ON ( condición de enlace )</w:t>
      </w:r>
    </w:p>
    <w:p w:rsidR="00C35A4A" w:rsidRPr="0009495C" w:rsidRDefault="00C35A4A" w:rsidP="00C35A4A">
      <w:pPr>
        <w:pStyle w:val="tx1"/>
      </w:pPr>
      <w:r>
        <w:t>A opción INNER indica o tipo de composición interna, pero non é necesario poñela expl</w:t>
      </w:r>
      <w:r>
        <w:t>i</w:t>
      </w:r>
      <w:r>
        <w:t>citamente.</w:t>
      </w:r>
      <w:r w:rsidR="003861E5">
        <w:t xml:space="preserve"> Cando se pon só a palabra JOIN  entre os nomes de dúas táboas enténdese que é unha composición interna (INNER).</w:t>
      </w:r>
    </w:p>
    <w:p w:rsidR="00853608" w:rsidRDefault="005E2A36" w:rsidP="00A27435">
      <w:r>
        <w:t>E</w:t>
      </w:r>
      <w:r w:rsidR="00CB6FCC" w:rsidRPr="0009495C">
        <w:t>xemplo</w:t>
      </w:r>
      <w:r>
        <w:t xml:space="preserve">: </w:t>
      </w:r>
      <w:r w:rsidR="00CB6FCC">
        <w:t>seleccionar</w:t>
      </w:r>
      <w:r w:rsidR="00CB6FCC" w:rsidRPr="0009495C">
        <w:t xml:space="preserve"> </w:t>
      </w:r>
      <w:r w:rsidR="00CB6FCC" w:rsidRPr="003861E5">
        <w:rPr>
          <w:i/>
        </w:rPr>
        <w:t>apelidos</w:t>
      </w:r>
      <w:r w:rsidR="00CB6FCC" w:rsidRPr="0009495C">
        <w:t xml:space="preserve">, </w:t>
      </w:r>
      <w:r w:rsidR="00CB6FCC" w:rsidRPr="003861E5">
        <w:rPr>
          <w:i/>
        </w:rPr>
        <w:t>nome</w:t>
      </w:r>
      <w:r w:rsidR="003B7625">
        <w:t xml:space="preserve"> </w:t>
      </w:r>
      <w:r w:rsidR="00CB6FCC" w:rsidRPr="0009495C">
        <w:t xml:space="preserve">e </w:t>
      </w:r>
      <w:r w:rsidR="00CB6FCC" w:rsidRPr="003861E5">
        <w:rPr>
          <w:i/>
        </w:rPr>
        <w:t>cidade</w:t>
      </w:r>
      <w:r w:rsidR="00CB6FCC" w:rsidRPr="0009495C">
        <w:t xml:space="preserve"> </w:t>
      </w:r>
      <w:r w:rsidR="00CB6FCC">
        <w:t>d</w:t>
      </w:r>
      <w:r w:rsidR="00CB6FCC" w:rsidRPr="0009495C">
        <w:t>os empregados que estean asignados a un departamento</w:t>
      </w:r>
      <w:r w:rsidR="003861E5">
        <w:t xml:space="preserve">, tendo en conta que </w:t>
      </w:r>
      <w:r w:rsidR="00CB6FCC" w:rsidRPr="003861E5">
        <w:rPr>
          <w:i/>
        </w:rPr>
        <w:t>cidade</w:t>
      </w:r>
      <w:r w:rsidR="00CB6FCC" w:rsidRPr="0009495C">
        <w:t xml:space="preserve"> é a cidade na </w:t>
      </w:r>
      <w:r w:rsidR="003B7625">
        <w:t xml:space="preserve">que </w:t>
      </w:r>
      <w:r w:rsidR="00CB6FCC" w:rsidRPr="0009495C">
        <w:t>está situado o departamento no que traballa</w:t>
      </w:r>
      <w:r w:rsidR="00CB6FCC">
        <w:t xml:space="preserve"> o empregado</w:t>
      </w:r>
      <w:r w:rsidR="00853608">
        <w:t xml:space="preserve">. </w:t>
      </w:r>
      <w:r>
        <w:t>A</w:t>
      </w:r>
      <w:r w:rsidR="00853608" w:rsidRPr="0009495C">
        <w:t xml:space="preserve"> condición de enlace escríbese na cláusula FROM, rese</w:t>
      </w:r>
      <w:r w:rsidR="00853608" w:rsidRPr="0009495C">
        <w:t>r</w:t>
      </w:r>
      <w:r w:rsidR="00853608" w:rsidRPr="0009495C">
        <w:t>vando a cláusula WHERE para establecer condicións que seleccionen as filas das táboas de orixe que nos interesan.</w:t>
      </w:r>
      <w:r w:rsidR="00853608">
        <w:t xml:space="preserve"> </w:t>
      </w:r>
    </w:p>
    <w:p w:rsidR="00AF0D47" w:rsidRPr="00AF0D47" w:rsidRDefault="00853EB8" w:rsidP="00853608">
      <w:pPr>
        <w:pStyle w:val="tx1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  <w:r w:rsidR="002C7E51">
        <w:rPr>
          <w:rFonts w:ascii="Courier New" w:hAnsi="Courier New" w:cs="Courier New"/>
          <w:color w:val="808080"/>
          <w:sz w:val="16"/>
          <w:szCs w:val="16"/>
          <w:highlight w:val="white"/>
        </w:rPr>
        <w:t>Enlace entre dú</w:t>
      </w:r>
      <w:r w:rsidR="00AF0D47"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>as táboas utilizando unha clave foránea</w:t>
      </w:r>
    </w:p>
    <w:p w:rsidR="00AF0D47" w:rsidRPr="00AF0D47" w:rsidRDefault="002C7E5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con </w:t>
      </w:r>
      <w:r w:rsidR="00AF0D47"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>INNER JOIN segundo a norma ANSI-92*/</w:t>
      </w:r>
    </w:p>
    <w:p w:rsidR="00AF0D47" w:rsidRPr="00AF0D47" w:rsidRDefault="00AF0D47" w:rsidP="00AF0D4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27435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</w:p>
    <w:p w:rsidR="00AF0D47" w:rsidRPr="00AF0D47" w:rsidRDefault="00AF0D4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A27435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274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inner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="00BD194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27435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274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274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27435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E2A36" w:rsidRDefault="003861E5" w:rsidP="00853608">
      <w:pPr>
        <w:pStyle w:val="tx1"/>
      </w:pPr>
      <w:r>
        <w:t xml:space="preserve">Cando interveñen máis de dúas táboas </w:t>
      </w:r>
      <w:r w:rsidR="00BD194C">
        <w:t>na composición</w:t>
      </w:r>
      <w:r w:rsidR="00720432">
        <w:t xml:space="preserve">, hai que ter en conta que para cada JOIN ten que </w:t>
      </w:r>
      <w:r w:rsidR="00BD194C">
        <w:t>existir</w:t>
      </w:r>
      <w:r w:rsidR="00720432">
        <w:t xml:space="preserve"> unha condición de enlace. Neste caso</w:t>
      </w:r>
      <w:r w:rsidR="00CB6FCC">
        <w:t>,</w:t>
      </w:r>
      <w:r w:rsidR="00720432">
        <w:t xml:space="preserve"> pódese asociar unha cláusula ON a cada JOIN coa correspondente condición de enlace, ou ben poñer unha única cláus</w:t>
      </w:r>
      <w:r w:rsidR="00720432">
        <w:t>u</w:t>
      </w:r>
      <w:r w:rsidR="00720432">
        <w:t xml:space="preserve">la ON cunha condición composta formada por todas as condicións de enlace relacionadas con operadores AND. </w:t>
      </w:r>
      <w:r w:rsidR="00CB6FCC">
        <w:t xml:space="preserve"> </w:t>
      </w:r>
    </w:p>
    <w:p w:rsidR="0038156C" w:rsidRDefault="005E2A36" w:rsidP="005E2A36">
      <w:r>
        <w:t>E</w:t>
      </w:r>
      <w:r w:rsidR="00720432">
        <w:t>xemplo</w:t>
      </w:r>
      <w:r>
        <w:t xml:space="preserve">: </w:t>
      </w:r>
      <w:r w:rsidR="00CB6FCC">
        <w:t>m</w:t>
      </w:r>
      <w:r w:rsidR="001B248C">
        <w:t xml:space="preserve">ostrar </w:t>
      </w:r>
      <w:r w:rsidR="001B248C" w:rsidRPr="003861E5">
        <w:rPr>
          <w:i/>
        </w:rPr>
        <w:t>apelidos</w:t>
      </w:r>
      <w:r>
        <w:t xml:space="preserve"> e </w:t>
      </w:r>
      <w:r w:rsidR="001B248C" w:rsidRPr="003861E5">
        <w:rPr>
          <w:i/>
        </w:rPr>
        <w:t>nome</w:t>
      </w:r>
      <w:r w:rsidR="001B248C">
        <w:t xml:space="preserve"> do </w:t>
      </w:r>
      <w:r w:rsidR="001B248C" w:rsidRPr="003861E5">
        <w:t>empregado</w:t>
      </w:r>
      <w:r w:rsidR="001B248C">
        <w:t>, nome do departamento no que trab</w:t>
      </w:r>
      <w:r w:rsidR="001B248C">
        <w:t>a</w:t>
      </w:r>
      <w:r w:rsidR="001B248C">
        <w:t>lla e nome da provincia no que está o departamento</w:t>
      </w:r>
      <w:r>
        <w:t>.</w:t>
      </w:r>
    </w:p>
    <w:p w:rsidR="00442551" w:rsidRPr="001B248C" w:rsidRDefault="00442551" w:rsidP="0044255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C2423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pr.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provincia</w:t>
      </w:r>
    </w:p>
    <w:p w:rsidR="00442551" w:rsidRDefault="00442551" w:rsidP="0044255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C2423D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</w:p>
    <w:p w:rsidR="00442551" w:rsidRPr="001B248C" w:rsidRDefault="00442551" w:rsidP="0044255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C2423D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2423D" w:rsidRPr="003861E5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42551" w:rsidRDefault="00442551" w:rsidP="0044255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 </w:t>
      </w:r>
      <w:r w:rsidR="00C2423D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id_provincia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20432" w:rsidRPr="00720432" w:rsidRDefault="00720432" w:rsidP="00720432">
      <w:pPr>
        <w:pStyle w:val="tx1"/>
        <w:rPr>
          <w:highlight w:val="white"/>
        </w:rPr>
      </w:pPr>
      <w:r>
        <w:rPr>
          <w:highlight w:val="white"/>
        </w:rPr>
        <w:t xml:space="preserve">Tamén se podería escribir </w:t>
      </w:r>
      <w:r w:rsidR="00442551">
        <w:rPr>
          <w:highlight w:val="white"/>
        </w:rPr>
        <w:t>utilizando unha única condición de enlace composta</w:t>
      </w:r>
      <w:r>
        <w:rPr>
          <w:highlight w:val="white"/>
        </w:rPr>
        <w:t>:</w:t>
      </w:r>
    </w:p>
    <w:p w:rsidR="00C2423D" w:rsidRPr="001B248C" w:rsidRDefault="00C2423D" w:rsidP="00C242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pr.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provincia</w:t>
      </w:r>
    </w:p>
    <w:p w:rsidR="00C2423D" w:rsidRDefault="00C2423D" w:rsidP="00C242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</w:p>
    <w:p w:rsidR="00C2423D" w:rsidRDefault="00C2423D" w:rsidP="00C242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</w:p>
    <w:p w:rsidR="00C2423D" w:rsidRDefault="00C2423D" w:rsidP="00C242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 </w:t>
      </w:r>
      <w:r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</w:p>
    <w:p w:rsidR="00C2423D" w:rsidRDefault="00C2423D" w:rsidP="00C2423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C2423D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and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id_provincia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42551" w:rsidRDefault="001976C5" w:rsidP="001976C5">
      <w:pPr>
        <w:pStyle w:val="tx1"/>
        <w:rPr>
          <w:highlight w:val="white"/>
        </w:rPr>
      </w:pPr>
      <w:r>
        <w:rPr>
          <w:highlight w:val="white"/>
        </w:rPr>
        <w:t>Calquera destas consultas obtén o seguinte resultado:</w:t>
      </w:r>
    </w:p>
    <w:p w:rsidR="001976C5" w:rsidRDefault="001976C5" w:rsidP="001976C5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119850" cy="1169337"/>
            <wp:effectExtent l="1905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81" cy="117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C5" w:rsidRPr="001976C5" w:rsidRDefault="001976C5" w:rsidP="001976C5">
      <w:pPr>
        <w:pStyle w:val="formula1"/>
        <w:rPr>
          <w:highlight w:val="white"/>
        </w:rPr>
      </w:pPr>
    </w:p>
    <w:p w:rsidR="0009495C" w:rsidRPr="0009495C" w:rsidRDefault="00CB6FCC" w:rsidP="0009495C">
      <w:pPr>
        <w:pStyle w:val="n5"/>
      </w:pPr>
      <w:bookmarkStart w:id="8" w:name="_Toc480234091"/>
      <w:r>
        <w:t>Composición</w:t>
      </w:r>
      <w:r w:rsidR="0009495C" w:rsidRPr="0009495C">
        <w:t xml:space="preserve"> </w:t>
      </w:r>
      <w:r w:rsidR="00CC1824">
        <w:t xml:space="preserve">interna </w:t>
      </w:r>
      <w:r w:rsidR="0056002F">
        <w:t xml:space="preserve">con INNER JOIN </w:t>
      </w:r>
      <w:r w:rsidR="0009495C" w:rsidRPr="0009495C">
        <w:t>sen condición de igualdade</w:t>
      </w:r>
      <w:bookmarkEnd w:id="8"/>
    </w:p>
    <w:p w:rsidR="005E2A36" w:rsidRDefault="005E564F" w:rsidP="00853EB8">
      <w:pPr>
        <w:pStyle w:val="tx1"/>
      </w:pPr>
      <w:r>
        <w:t xml:space="preserve">Cando se fai unha </w:t>
      </w:r>
      <w:r w:rsidR="001E4006">
        <w:t>c</w:t>
      </w:r>
      <w:r w:rsidR="00CB6FCC">
        <w:t>omposición</w:t>
      </w:r>
      <w:r>
        <w:t xml:space="preserve"> entre dúas táboas utilizando unha </w:t>
      </w:r>
      <w:r w:rsidR="001E4006">
        <w:t>c</w:t>
      </w:r>
      <w:r w:rsidR="00CB6FCC">
        <w:t>omposición</w:t>
      </w:r>
      <w:r>
        <w:t xml:space="preserve"> interna, é</w:t>
      </w:r>
      <w:r w:rsidR="0009495C" w:rsidRPr="0009495C">
        <w:t xml:space="preserve"> posible </w:t>
      </w:r>
      <w:r>
        <w:t xml:space="preserve">utilizar condicións de enlace distintas da </w:t>
      </w:r>
      <w:r w:rsidR="0009495C" w:rsidRPr="0009495C">
        <w:t>condición de igualda</w:t>
      </w:r>
      <w:r>
        <w:t xml:space="preserve">de; </w:t>
      </w:r>
      <w:r w:rsidR="0009495C" w:rsidRPr="0009495C">
        <w:t>neste caso s</w:t>
      </w:r>
      <w:r w:rsidR="0009495C" w:rsidRPr="0009495C">
        <w:t>u</w:t>
      </w:r>
      <w:r w:rsidR="0009495C" w:rsidRPr="0009495C">
        <w:t>ponse que non existe ningunha columna que conteña valores idénticos nas dúas táboas.</w:t>
      </w:r>
      <w:r w:rsidR="00853EB8">
        <w:t xml:space="preserve"> </w:t>
      </w:r>
    </w:p>
    <w:p w:rsidR="0009495C" w:rsidRPr="0009495C" w:rsidRDefault="005E2A36" w:rsidP="005E2A36">
      <w:r>
        <w:t>Exemplo:</w:t>
      </w:r>
      <w:r w:rsidR="00853EB8">
        <w:t xml:space="preserve"> s</w:t>
      </w:r>
      <w:r w:rsidR="005E564F">
        <w:t>eleccionar</w:t>
      </w:r>
      <w:r w:rsidR="0009495C" w:rsidRPr="0009495C">
        <w:t xml:space="preserve"> </w:t>
      </w:r>
      <w:r w:rsidR="00853EB8" w:rsidRPr="00F14DE1">
        <w:rPr>
          <w:i/>
        </w:rPr>
        <w:t>apelidos</w:t>
      </w:r>
      <w:r w:rsidR="00853EB8">
        <w:t xml:space="preserve">, </w:t>
      </w:r>
      <w:r w:rsidR="00853EB8" w:rsidRPr="00F14DE1">
        <w:rPr>
          <w:i/>
        </w:rPr>
        <w:t>nome</w:t>
      </w:r>
      <w:r w:rsidR="00853EB8">
        <w:t xml:space="preserve">, salario </w:t>
      </w:r>
      <w:r w:rsidR="005E564F">
        <w:t>bruto,</w:t>
      </w:r>
      <w:r w:rsidR="0009495C" w:rsidRPr="0009495C">
        <w:t xml:space="preserve"> tipo de</w:t>
      </w:r>
      <w:r w:rsidR="00853EB8">
        <w:t xml:space="preserve"> imposto </w:t>
      </w:r>
      <w:r w:rsidR="005E564F">
        <w:t xml:space="preserve">e </w:t>
      </w:r>
      <w:r w:rsidR="0009495C" w:rsidRPr="0009495C">
        <w:t>salario neto (s</w:t>
      </w:r>
      <w:r w:rsidR="0009495C" w:rsidRPr="0009495C">
        <w:t>a</w:t>
      </w:r>
      <w:r w:rsidR="00AC70F1">
        <w:t xml:space="preserve">lario bruto – impostos) </w:t>
      </w:r>
      <w:r w:rsidR="0009495C" w:rsidRPr="0009495C">
        <w:t>de todos os empregados</w:t>
      </w:r>
      <w:r w:rsidR="00AC70F1">
        <w:t xml:space="preserve"> ordenados por nome</w:t>
      </w:r>
      <w:r w:rsidR="0009495C" w:rsidRPr="0009495C">
        <w:t>.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JOIN se</w:t>
      </w: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>n condición de igualdade */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ir.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tipo_imposto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E564F" w:rsidRPr="00AF0D47" w:rsidRDefault="002B5E35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5E564F"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2423D" w:rsidRPr="00F14DE1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="00C2423D" w:rsidRPr="00F14DE1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C2423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AC70F1" w:rsidRPr="00F14DE1">
        <w:rPr>
          <w:rFonts w:ascii="Courier New" w:hAnsi="Courier New" w:cs="Courier New"/>
          <w:color w:val="000000"/>
          <w:sz w:val="16"/>
          <w:szCs w:val="16"/>
          <w:highlight w:val="white"/>
        </w:rPr>
        <w:t>ir</w:t>
      </w:r>
      <w:r w:rsidR="00C2423D" w:rsidRPr="00F14DE1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tipo_imposto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="005E564F" w:rsidRPr="00AF0D47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5E564F" w:rsidRPr="00AF0D4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E564F"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salario_neto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C2423D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irpf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ir</w:t>
      </w:r>
    </w:p>
    <w:p w:rsidR="00AC70F1" w:rsidRDefault="002B5E35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5E564F"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salario_bruto </w:t>
      </w:r>
      <w:r w:rsidR="005E564F"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ir.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limite_inferior </w:t>
      </w:r>
      <w:r w:rsidR="005E564F"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ir.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limite_superior</w:t>
      </w:r>
    </w:p>
    <w:p w:rsidR="005E564F" w:rsidRDefault="00AC70F1" w:rsidP="005E564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C70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 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em.nome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D7E94" w:rsidRPr="00AF0D47" w:rsidRDefault="000A542F" w:rsidP="006D7E94">
      <w:pPr>
        <w:pStyle w:val="tx1"/>
        <w:rPr>
          <w:highlight w:val="white"/>
        </w:rPr>
      </w:pPr>
      <w:r w:rsidRPr="0009495C">
        <w:t xml:space="preserve">Neste caso, o </w:t>
      </w:r>
      <w:r w:rsidRPr="0009495C">
        <w:rPr>
          <w:i/>
          <w:iCs/>
        </w:rPr>
        <w:t>salario_bruto</w:t>
      </w:r>
      <w:r w:rsidRPr="0009495C">
        <w:t xml:space="preserve"> é a columna da táboa </w:t>
      </w:r>
      <w:r w:rsidRPr="00514CB8">
        <w:rPr>
          <w:i/>
        </w:rPr>
        <w:t>empregado</w:t>
      </w:r>
      <w:r w:rsidRPr="0009495C">
        <w:t xml:space="preserve"> que </w:t>
      </w:r>
      <w:r w:rsidR="005E2A36">
        <w:t xml:space="preserve">se vai </w:t>
      </w:r>
      <w:r w:rsidRPr="0009495C">
        <w:t>a utilizar como enla</w:t>
      </w:r>
      <w:r w:rsidR="00BD194C">
        <w:t xml:space="preserve">ce </w:t>
      </w:r>
      <w:r w:rsidR="005E2A36">
        <w:t xml:space="preserve">e </w:t>
      </w:r>
      <w:r w:rsidRPr="0009495C">
        <w:t xml:space="preserve">non ten que coincidir exactamente co valor almacenado en ningunha columna da táboa </w:t>
      </w:r>
      <w:r w:rsidRPr="0009495C">
        <w:rPr>
          <w:i/>
          <w:iCs/>
        </w:rPr>
        <w:t>irpf</w:t>
      </w:r>
      <w:r w:rsidRPr="0009495C">
        <w:t>, se</w:t>
      </w:r>
      <w:r>
        <w:t xml:space="preserve">nón </w:t>
      </w:r>
      <w:r w:rsidRPr="0009495C">
        <w:t xml:space="preserve">que </w:t>
      </w:r>
      <w:r>
        <w:t xml:space="preserve">ten que estar entre </w:t>
      </w:r>
      <w:r w:rsidRPr="0009495C">
        <w:t xml:space="preserve">un </w:t>
      </w:r>
      <w:r w:rsidRPr="0009495C">
        <w:rPr>
          <w:i/>
          <w:iCs/>
        </w:rPr>
        <w:t>límite_inferior</w:t>
      </w:r>
      <w:r w:rsidRPr="0009495C">
        <w:t xml:space="preserve"> </w:t>
      </w:r>
      <w:r>
        <w:t xml:space="preserve">e un </w:t>
      </w:r>
      <w:r w:rsidRPr="0009495C">
        <w:rPr>
          <w:i/>
          <w:iCs/>
        </w:rPr>
        <w:t>límite_superior</w:t>
      </w:r>
      <w:r w:rsidR="003B7625">
        <w:rPr>
          <w:i/>
          <w:iCs/>
        </w:rPr>
        <w:t>,</w:t>
      </w:r>
      <w:r w:rsidRPr="0009495C">
        <w:t xml:space="preserve"> </w:t>
      </w:r>
      <w:r>
        <w:t>ambos i</w:t>
      </w:r>
      <w:r>
        <w:t>n</w:t>
      </w:r>
      <w:r>
        <w:t>clusive</w:t>
      </w:r>
      <w:r w:rsidRPr="0009495C">
        <w:rPr>
          <w:i/>
          <w:iCs/>
        </w:rPr>
        <w:t>.</w:t>
      </w:r>
      <w:r>
        <w:rPr>
          <w:i/>
          <w:iCs/>
        </w:rPr>
        <w:t xml:space="preserve"> </w:t>
      </w:r>
      <w:r w:rsidR="00853EB8">
        <w:rPr>
          <w:highlight w:val="white"/>
        </w:rPr>
        <w:t>O r</w:t>
      </w:r>
      <w:r w:rsidR="006D7E94">
        <w:rPr>
          <w:highlight w:val="white"/>
        </w:rPr>
        <w:t>esultado da execución</w:t>
      </w:r>
      <w:r w:rsidR="00853EB8">
        <w:rPr>
          <w:highlight w:val="white"/>
        </w:rPr>
        <w:t xml:space="preserve"> en Workbench podería ser</w:t>
      </w:r>
      <w:r w:rsidR="006D7E94">
        <w:rPr>
          <w:highlight w:val="white"/>
        </w:rPr>
        <w:t>:</w:t>
      </w:r>
    </w:p>
    <w:p w:rsidR="005E564F" w:rsidRPr="00AF0D47" w:rsidRDefault="006C2598" w:rsidP="006C259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193277" cy="1187870"/>
            <wp:effectExtent l="19050" t="0" r="7123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242" cy="118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5C" w:rsidRPr="0009495C" w:rsidRDefault="00CB6FCC" w:rsidP="000542BD">
      <w:pPr>
        <w:pStyle w:val="n3"/>
      </w:pPr>
      <w:bookmarkStart w:id="9" w:name="__RefHeading__6523_1764928282"/>
      <w:bookmarkStart w:id="10" w:name="__RefHeading__60843_2017338258"/>
      <w:bookmarkStart w:id="11" w:name="_Toc480234092"/>
      <w:bookmarkEnd w:id="9"/>
      <w:bookmarkEnd w:id="10"/>
      <w:r>
        <w:t>Composición</w:t>
      </w:r>
      <w:r w:rsidR="0009495C" w:rsidRPr="0009495C">
        <w:t xml:space="preserve"> externa</w:t>
      </w:r>
      <w:r w:rsidR="009F1AF3">
        <w:t xml:space="preserve"> con OUTER JOIN</w:t>
      </w:r>
      <w:bookmarkEnd w:id="11"/>
    </w:p>
    <w:p w:rsidR="0009495C" w:rsidRDefault="0009495C" w:rsidP="00DC153C">
      <w:pPr>
        <w:pStyle w:val="tx1"/>
      </w:pPr>
      <w:r w:rsidRPr="0009495C">
        <w:t xml:space="preserve">A </w:t>
      </w:r>
      <w:r w:rsidR="003B7625">
        <w:t>c</w:t>
      </w:r>
      <w:r w:rsidR="00CB6FCC">
        <w:t>omposición</w:t>
      </w:r>
      <w:r w:rsidRPr="0009495C">
        <w:t xml:space="preserve"> extern</w:t>
      </w:r>
      <w:r w:rsidR="00A26666">
        <w:t xml:space="preserve">a permite mostrar </w:t>
      </w:r>
      <w:r w:rsidRPr="0009495C">
        <w:t>as filas dunha das táboas aínda que non</w:t>
      </w:r>
      <w:r w:rsidR="00A26666">
        <w:t xml:space="preserve"> cumpran a condición de enlace (</w:t>
      </w:r>
      <w:r w:rsidR="00E94CAD">
        <w:t>toma</w:t>
      </w:r>
      <w:r w:rsidR="00A26666">
        <w:t xml:space="preserve"> </w:t>
      </w:r>
      <w:r w:rsidRPr="0009495C">
        <w:t xml:space="preserve">o valor NULL </w:t>
      </w:r>
      <w:r w:rsidR="00E94CAD">
        <w:t>para as columnas do resto de</w:t>
      </w:r>
      <w:r w:rsidRPr="0009495C">
        <w:t xml:space="preserve"> táboas</w:t>
      </w:r>
      <w:r w:rsidR="00A26666">
        <w:t xml:space="preserve">), ademais das </w:t>
      </w:r>
      <w:r w:rsidR="00A26666" w:rsidRPr="0009495C">
        <w:t>parellas de filas para as que se cumpra a condición de enlace</w:t>
      </w:r>
      <w:r w:rsidR="00A26666">
        <w:t xml:space="preserve"> tal e como ocorría na composición interna</w:t>
      </w:r>
      <w:r w:rsidRPr="0009495C">
        <w:t>.</w:t>
      </w:r>
    </w:p>
    <w:tbl>
      <w:tblPr>
        <w:tblStyle w:val="Tablaconcuadrcula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1"/>
        <w:gridCol w:w="2211"/>
        <w:gridCol w:w="2211"/>
        <w:gridCol w:w="2211"/>
      </w:tblGrid>
      <w:tr w:rsidR="00E94CAD" w:rsidTr="00E94CAD">
        <w:tc>
          <w:tcPr>
            <w:tcW w:w="2211" w:type="dxa"/>
            <w:vAlign w:val="center"/>
          </w:tcPr>
          <w:p w:rsidR="00E94CAD" w:rsidRPr="00F14DE1" w:rsidRDefault="00E94CAD" w:rsidP="00F14DE1">
            <w:pPr>
              <w:pStyle w:val="formula1"/>
              <w:spacing w:before="0" w:after="0"/>
              <w:ind w:left="0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790575" cy="566738"/>
                  <wp:effectExtent l="19050" t="0" r="9525" b="0"/>
                  <wp:docPr id="42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66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 w:rsidR="00E94CAD" w:rsidRDefault="00E94CAD" w:rsidP="00F14DE1">
            <w:pPr>
              <w:pStyle w:val="formula1"/>
              <w:spacing w:before="0" w:after="0"/>
              <w:ind w:left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771525" cy="619125"/>
                  <wp:effectExtent l="19050" t="0" r="9525" b="0"/>
                  <wp:docPr id="44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 w:rsidR="00E94CAD" w:rsidRDefault="00E94CAD" w:rsidP="00F14DE1">
            <w:pPr>
              <w:pStyle w:val="formula1"/>
              <w:spacing w:before="0" w:after="0"/>
              <w:ind w:left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752475" cy="571500"/>
                  <wp:effectExtent l="19050" t="0" r="9525" b="0"/>
                  <wp:docPr id="47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 w:rsidR="00E94CAD" w:rsidRPr="00F14DE1" w:rsidRDefault="00E94CAD" w:rsidP="00F14DE1">
            <w:pPr>
              <w:pStyle w:val="formula1"/>
              <w:spacing w:before="0" w:after="0"/>
              <w:ind w:left="0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742950" cy="623888"/>
                  <wp:effectExtent l="19050" t="0" r="0" b="0"/>
                  <wp:docPr id="48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623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495C" w:rsidRPr="00B217EF" w:rsidRDefault="0009495C" w:rsidP="00BD194C">
      <w:pPr>
        <w:pStyle w:val="tx1"/>
        <w:rPr>
          <w:sz w:val="20"/>
          <w:lang w:val="en-US"/>
        </w:rPr>
      </w:pPr>
      <w:r w:rsidRPr="0009495C">
        <w:t xml:space="preserve">Existen </w:t>
      </w:r>
      <w:r w:rsidR="007D085C">
        <w:t>dous</w:t>
      </w:r>
      <w:r w:rsidRPr="0009495C">
        <w:t xml:space="preserve"> tipos de reunión externa: pola esquerda, e pola dereita, dependendo de cal das táboas </w:t>
      </w:r>
      <w:r w:rsidR="00BD194C">
        <w:t xml:space="preserve">se considere </w:t>
      </w:r>
      <w:r w:rsidRPr="0009495C">
        <w:t xml:space="preserve">táboa principal. </w:t>
      </w:r>
      <w:r w:rsidR="00A26666">
        <w:t>A s</w:t>
      </w:r>
      <w:r w:rsidR="009A6C03">
        <w:t>intaxe</w:t>
      </w:r>
      <w:r w:rsidR="00A26666">
        <w:t xml:space="preserve"> é</w:t>
      </w:r>
      <w:r w:rsidRPr="00B217EF">
        <w:rPr>
          <w:sz w:val="20"/>
          <w:lang w:val="en-US"/>
        </w:rPr>
        <w:t>:</w:t>
      </w:r>
    </w:p>
    <w:p w:rsidR="0009495C" w:rsidRPr="0009495C" w:rsidRDefault="0009495C" w:rsidP="00DC153C">
      <w:pPr>
        <w:pStyle w:val="Codigo"/>
        <w:rPr>
          <w:sz w:val="20"/>
          <w:szCs w:val="20"/>
        </w:rPr>
      </w:pPr>
      <w:r w:rsidRPr="0009495C">
        <w:t xml:space="preserve">FROM </w:t>
      </w:r>
      <w:r w:rsidRPr="0009495C">
        <w:rPr>
          <w:i/>
          <w:iCs/>
        </w:rPr>
        <w:t>nome_táboa_1</w:t>
      </w:r>
      <w:r w:rsidRPr="0009495C">
        <w:t xml:space="preserve"> { LEFT | RIGTH }</w:t>
      </w:r>
      <w:r w:rsidR="00CC6B5D">
        <w:t xml:space="preserve"> </w:t>
      </w:r>
      <w:r w:rsidR="00CC6B5D" w:rsidRPr="0009495C">
        <w:t xml:space="preserve">[ OUTER ] </w:t>
      </w:r>
      <w:r w:rsidRPr="0009495C">
        <w:t xml:space="preserve">JOIN </w:t>
      </w:r>
      <w:r w:rsidRPr="0009495C">
        <w:rPr>
          <w:i/>
          <w:iCs/>
        </w:rPr>
        <w:t>nome_táboa_2</w:t>
      </w:r>
    </w:p>
    <w:p w:rsidR="0009495C" w:rsidRPr="0009495C" w:rsidRDefault="0009495C" w:rsidP="00DC153C">
      <w:pPr>
        <w:pStyle w:val="Codigo"/>
        <w:rPr>
          <w:sz w:val="20"/>
          <w:szCs w:val="20"/>
        </w:rPr>
      </w:pPr>
      <w:r w:rsidRPr="0009495C">
        <w:t xml:space="preserve">ON ( </w:t>
      </w:r>
      <w:r w:rsidRPr="0009495C">
        <w:rPr>
          <w:i/>
          <w:iCs/>
        </w:rPr>
        <w:t>condición de enlace</w:t>
      </w:r>
      <w:r w:rsidRPr="0009495C">
        <w:t xml:space="preserve"> )</w:t>
      </w:r>
    </w:p>
    <w:p w:rsidR="00A26666" w:rsidRPr="00A26666" w:rsidRDefault="00A26666" w:rsidP="00A26666">
      <w:pPr>
        <w:pStyle w:val="p1"/>
        <w:rPr>
          <w:sz w:val="20"/>
        </w:rPr>
      </w:pPr>
      <w:r>
        <w:t>A</w:t>
      </w:r>
      <w:r w:rsidR="0009495C" w:rsidRPr="0009495C">
        <w:t xml:space="preserve"> opción LEFT </w:t>
      </w:r>
      <w:r>
        <w:t>mostra</w:t>
      </w:r>
      <w:r w:rsidR="006E055B">
        <w:t xml:space="preserve"> todas as filas da táboa da esquerda, aínda que non estean rel</w:t>
      </w:r>
      <w:r w:rsidR="006E055B">
        <w:t>a</w:t>
      </w:r>
      <w:r w:rsidR="006E055B">
        <w:t>cionas con filas do resto das táboas</w:t>
      </w:r>
      <w:r w:rsidR="0009495C" w:rsidRPr="0009495C">
        <w:t xml:space="preserve">. </w:t>
      </w:r>
    </w:p>
    <w:p w:rsidR="00A26666" w:rsidRPr="00A26666" w:rsidRDefault="00A26666" w:rsidP="00A26666">
      <w:pPr>
        <w:pStyle w:val="p1"/>
        <w:rPr>
          <w:sz w:val="20"/>
        </w:rPr>
      </w:pPr>
      <w:r>
        <w:t>A</w:t>
      </w:r>
      <w:r w:rsidR="0009495C" w:rsidRPr="0009495C">
        <w:t xml:space="preserve"> opción RIGHT</w:t>
      </w:r>
      <w:r w:rsidR="006E055B">
        <w:t xml:space="preserve">, </w:t>
      </w:r>
      <w:r>
        <w:t>mostra</w:t>
      </w:r>
      <w:r w:rsidR="006E055B">
        <w:t xml:space="preserve"> todas as filas da táboa da dereita, aínda que non estean rel</w:t>
      </w:r>
      <w:r w:rsidR="006E055B">
        <w:t>a</w:t>
      </w:r>
      <w:r w:rsidR="006E055B">
        <w:t xml:space="preserve">cionas con filas do resto das táboas. </w:t>
      </w:r>
    </w:p>
    <w:p w:rsidR="000956B7" w:rsidRDefault="005E2A36" w:rsidP="00A26666">
      <w:pPr>
        <w:pStyle w:val="tx1"/>
      </w:pPr>
      <w:r>
        <w:t>E</w:t>
      </w:r>
      <w:r w:rsidR="00A26666">
        <w:t>xemplo</w:t>
      </w:r>
      <w:r>
        <w:t xml:space="preserve">: </w:t>
      </w:r>
      <w:r w:rsidR="000956B7">
        <w:t xml:space="preserve">mostrar </w:t>
      </w:r>
      <w:r w:rsidR="000956B7" w:rsidRPr="00F14DE1">
        <w:rPr>
          <w:i/>
        </w:rPr>
        <w:t>apelidos</w:t>
      </w:r>
      <w:r w:rsidR="000956B7">
        <w:t xml:space="preserve"> e </w:t>
      </w:r>
      <w:r w:rsidR="000956B7" w:rsidRPr="00F14DE1">
        <w:rPr>
          <w:i/>
        </w:rPr>
        <w:t>nome</w:t>
      </w:r>
      <w:r w:rsidR="000956B7">
        <w:t xml:space="preserve"> dos empregados e nome da cidade na que está o depa</w:t>
      </w:r>
      <w:r w:rsidR="000956B7">
        <w:t>r</w:t>
      </w:r>
      <w:r w:rsidR="000956B7">
        <w:t>tamento no que traballa, aínda que o empregado non teña departamento asignado.</w:t>
      </w:r>
      <w:r w:rsidR="00A6540B">
        <w:t xml:space="preserve"> O resu</w:t>
      </w:r>
      <w:r w:rsidR="00A6540B">
        <w:t>l</w:t>
      </w:r>
      <w:r w:rsidR="00A6540B">
        <w:t>tado ten que estar ordenado polo nome.</w:t>
      </w:r>
    </w:p>
    <w:p w:rsidR="00A5050B" w:rsidRDefault="00A5050B" w:rsidP="005E564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A5050B" w:rsidRDefault="00A5050B" w:rsidP="005E564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/* OUTER JOIN enlace externo, neste caso, pola esquerda*/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6540B"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6540B"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</w:p>
    <w:p w:rsidR="00A6540B" w:rsidRDefault="005E564F" w:rsidP="005E564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654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6540B" w:rsidRPr="0049540C" w:rsidRDefault="00A6540B" w:rsidP="00A6540B">
      <w:pPr>
        <w:spacing w:after="0"/>
        <w:rPr>
          <w:sz w:val="16"/>
          <w:szCs w:val="16"/>
        </w:rPr>
      </w:pP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em.nome</w:t>
      </w:r>
      <w:r w:rsidRPr="0049540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2A36" w:rsidRPr="005E2A36" w:rsidRDefault="00A26666" w:rsidP="000956B7">
      <w:pPr>
        <w:pStyle w:val="tx1"/>
      </w:pPr>
      <w:r w:rsidRPr="0009495C">
        <w:t>N</w:t>
      </w:r>
      <w:r w:rsidR="00513F60">
        <w:t>a sentenza anterior, a táboa principal é a</w:t>
      </w:r>
      <w:r w:rsidRPr="0009495C">
        <w:t xml:space="preserve"> táboa</w:t>
      </w:r>
      <w:r>
        <w:t xml:space="preserve"> </w:t>
      </w:r>
      <w:r w:rsidRPr="0009495C">
        <w:rPr>
          <w:i/>
          <w:iCs/>
        </w:rPr>
        <w:t>empregado</w:t>
      </w:r>
      <w:r w:rsidR="00513F60">
        <w:t xml:space="preserve"> </w:t>
      </w:r>
      <w:r w:rsidRPr="0009495C">
        <w:t>por estar situada á esquerda</w:t>
      </w:r>
      <w:r>
        <w:t xml:space="preserve"> (</w:t>
      </w:r>
      <w:r w:rsidRPr="007241D6">
        <w:rPr>
          <w:i/>
        </w:rPr>
        <w:t>left</w:t>
      </w:r>
      <w:r>
        <w:t>)</w:t>
      </w:r>
      <w:r w:rsidRPr="0009495C">
        <w:t xml:space="preserve">, e a táboa </w:t>
      </w:r>
      <w:r w:rsidRPr="0009495C">
        <w:rPr>
          <w:i/>
          <w:iCs/>
        </w:rPr>
        <w:t>departamento</w:t>
      </w:r>
      <w:r w:rsidR="00513F60">
        <w:t xml:space="preserve"> </w:t>
      </w:r>
      <w:r>
        <w:t>considé</w:t>
      </w:r>
      <w:r w:rsidRPr="0009495C">
        <w:t>ra</w:t>
      </w:r>
      <w:r>
        <w:t>se</w:t>
      </w:r>
      <w:r w:rsidRPr="0009495C">
        <w:t xml:space="preserve"> a táboa secundaria da consulta. N</w:t>
      </w:r>
      <w:r w:rsidR="00CB2AA3">
        <w:t>a execución, m</w:t>
      </w:r>
      <w:r>
        <w:t>óstra</w:t>
      </w:r>
      <w:r w:rsidRPr="0009495C">
        <w:t>se unha fila para cada empregado, e para os que non cumpran a condición de enla</w:t>
      </w:r>
      <w:r w:rsidR="00BD194C">
        <w:t xml:space="preserve">ce </w:t>
      </w:r>
      <w:r w:rsidRPr="0009495C">
        <w:t xml:space="preserve">por non ter asignado aínda un departamento, </w:t>
      </w:r>
      <w:r w:rsidR="00BD194C">
        <w:t xml:space="preserve">móstrase </w:t>
      </w:r>
      <w:r w:rsidRPr="0009495C">
        <w:t>o valor NULL</w:t>
      </w:r>
      <w:r w:rsidR="00BD194C" w:rsidRPr="00BD194C">
        <w:t xml:space="preserve"> </w:t>
      </w:r>
      <w:r w:rsidR="00BD194C" w:rsidRPr="0009495C">
        <w:t xml:space="preserve">na columna </w:t>
      </w:r>
      <w:r w:rsidR="00BD194C" w:rsidRPr="0009495C">
        <w:rPr>
          <w:i/>
          <w:iCs/>
        </w:rPr>
        <w:t>cidade</w:t>
      </w:r>
      <w:r w:rsidRPr="0009495C">
        <w:t>.</w:t>
      </w:r>
      <w:r>
        <w:t xml:space="preserve"> O número de filas que devolve a consulta é 20 que é o número de filas que ten a táboa </w:t>
      </w:r>
      <w:r w:rsidRPr="0009495C">
        <w:rPr>
          <w:i/>
          <w:iCs/>
        </w:rPr>
        <w:t>e</w:t>
      </w:r>
      <w:r w:rsidRPr="0009495C">
        <w:rPr>
          <w:i/>
          <w:iCs/>
        </w:rPr>
        <w:t>m</w:t>
      </w:r>
      <w:r w:rsidRPr="0009495C">
        <w:rPr>
          <w:i/>
          <w:iCs/>
        </w:rPr>
        <w:t>pregado</w:t>
      </w:r>
      <w:r>
        <w:rPr>
          <w:iCs/>
        </w:rPr>
        <w:t>.</w:t>
      </w:r>
      <w:r w:rsidR="000956B7">
        <w:rPr>
          <w:iCs/>
        </w:rPr>
        <w:t xml:space="preserve"> </w:t>
      </w:r>
    </w:p>
    <w:p w:rsidR="006D7E94" w:rsidRPr="00093F71" w:rsidRDefault="00B217EF" w:rsidP="006D7E94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960824" cy="1739442"/>
            <wp:effectExtent l="19050" t="0" r="1326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07" cy="174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AD" w:rsidRDefault="00E94CAD" w:rsidP="00E94CAD">
      <w:pPr>
        <w:pStyle w:val="tx1"/>
      </w:pPr>
      <w:r>
        <w:t xml:space="preserve">Exemplo de LEFT JOIN con IF NULL: mostrar </w:t>
      </w:r>
      <w:r w:rsidRPr="00F14DE1">
        <w:rPr>
          <w:i/>
        </w:rPr>
        <w:t>apelidos</w:t>
      </w:r>
      <w:r>
        <w:t xml:space="preserve"> e </w:t>
      </w:r>
      <w:r w:rsidRPr="00F14DE1">
        <w:rPr>
          <w:i/>
        </w:rPr>
        <w:t>nome</w:t>
      </w:r>
      <w:r>
        <w:t xml:space="preserve"> dos empregados que non teñen departamento asignado. </w:t>
      </w:r>
    </w:p>
    <w:p w:rsidR="00E94CAD" w:rsidRPr="00E94CAD" w:rsidRDefault="00E94CA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</w:p>
    <w:p w:rsidR="00E94CAD" w:rsidRPr="00E94CAD" w:rsidRDefault="00E94CA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</w:p>
    <w:p w:rsidR="00E94CAD" w:rsidRPr="00E94CAD" w:rsidRDefault="00E94CA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94CAD" w:rsidRDefault="00E94CA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cidade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94CAD">
        <w:rPr>
          <w:rFonts w:ascii="Courier New" w:hAnsi="Courier New" w:cs="Courier New"/>
          <w:color w:val="808080"/>
          <w:sz w:val="16"/>
          <w:szCs w:val="16"/>
          <w:highlight w:val="white"/>
        </w:rPr>
        <w:t># Vale calquera columna da táboa departamento</w:t>
      </w:r>
    </w:p>
    <w:p w:rsidR="00E94CAD" w:rsidRPr="00E94CAD" w:rsidRDefault="00E94CAD" w:rsidP="00E94CAD">
      <w:pPr>
        <w:pStyle w:val="tx1"/>
        <w:rPr>
          <w:highlight w:val="white"/>
        </w:rPr>
      </w:pPr>
      <w:r>
        <w:rPr>
          <w:highlight w:val="white"/>
        </w:rPr>
        <w:t>Para as filas da táboa principal (</w:t>
      </w:r>
      <w:r w:rsidRPr="00E94CAD">
        <w:rPr>
          <w:i/>
          <w:highlight w:val="white"/>
        </w:rPr>
        <w:t>empregado</w:t>
      </w:r>
      <w:r>
        <w:rPr>
          <w:highlight w:val="white"/>
        </w:rPr>
        <w:t xml:space="preserve">) </w:t>
      </w:r>
      <w:r w:rsidRPr="0009495C">
        <w:t>que non cumpran a condición de enla</w:t>
      </w:r>
      <w:r>
        <w:t>ce, todas as columnas da táboa secundaria (</w:t>
      </w:r>
      <w:r w:rsidRPr="00E94CAD">
        <w:rPr>
          <w:i/>
        </w:rPr>
        <w:t>departamento</w:t>
      </w:r>
      <w:r>
        <w:t xml:space="preserve">) toman o </w:t>
      </w:r>
      <w:r w:rsidRPr="0009495C">
        <w:t>valor NULL</w:t>
      </w:r>
      <w:r>
        <w:t>, polo que ao est</w:t>
      </w:r>
      <w:r>
        <w:t>a</w:t>
      </w:r>
      <w:r>
        <w:t xml:space="preserve">blecer a condición da cláusula WHERE só se mostran as filas da táboa principal que non están relacionadas con ningunha fila da táboa secundaria. </w:t>
      </w:r>
    </w:p>
    <w:p w:rsidR="00E94CAD" w:rsidRDefault="00E94CAD" w:rsidP="00E94CAD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862304" cy="600075"/>
            <wp:effectExtent l="19050" t="0" r="4596" b="0"/>
            <wp:docPr id="5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476" cy="60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5D" w:rsidRPr="0009495C" w:rsidRDefault="00CC6B5D" w:rsidP="000542BD">
      <w:pPr>
        <w:pStyle w:val="n3"/>
      </w:pPr>
      <w:bookmarkStart w:id="12" w:name="_Toc480234093"/>
      <w:r>
        <w:t>Composición</w:t>
      </w:r>
      <w:r w:rsidRPr="0009495C">
        <w:t xml:space="preserve"> </w:t>
      </w:r>
      <w:r>
        <w:t xml:space="preserve">con </w:t>
      </w:r>
      <w:r w:rsidRPr="0009495C">
        <w:t>NATURAL JOIN</w:t>
      </w:r>
      <w:bookmarkEnd w:id="12"/>
    </w:p>
    <w:p w:rsidR="00CC6B5D" w:rsidRDefault="00CC6B5D" w:rsidP="00CC6B5D">
      <w:pPr>
        <w:pStyle w:val="tx1"/>
        <w:rPr>
          <w:iCs/>
        </w:rPr>
      </w:pPr>
      <w:r w:rsidRPr="0009495C">
        <w:t xml:space="preserve">A </w:t>
      </w:r>
      <w:r>
        <w:t>composición</w:t>
      </w:r>
      <w:r w:rsidRPr="0009495C">
        <w:t xml:space="preserve"> natural permite enlazar táboas </w:t>
      </w:r>
      <w:r>
        <w:t>por columnas que teñen o mesmo nome. Neste tipo de composicións n</w:t>
      </w:r>
      <w:r w:rsidRPr="0009495C">
        <w:t>on é necesario introducir a condición de enlace coa opción ON</w:t>
      </w:r>
      <w:r>
        <w:t>, pois sobreenténdese que a condición de enlace consiste en comprobar a coincidencia dos valores das columnas que teñen o mesmo nome</w:t>
      </w:r>
      <w:r w:rsidRPr="0009495C">
        <w:t xml:space="preserve">. Ademais, as columnas que existen nas dúas táboas só se mostran unha vez, polo que non é necesario cualificalas empregando o formato </w:t>
      </w:r>
      <w:r w:rsidRPr="0009495C">
        <w:rPr>
          <w:i/>
          <w:iCs/>
        </w:rPr>
        <w:t>nome_táboa.nome columna.</w:t>
      </w:r>
      <w:r>
        <w:rPr>
          <w:iCs/>
        </w:rPr>
        <w:t xml:space="preserve"> Sintaxe:</w:t>
      </w:r>
    </w:p>
    <w:p w:rsidR="00CC6B5D" w:rsidRPr="0009495C" w:rsidRDefault="00CC6B5D" w:rsidP="00CC6B5D">
      <w:pPr>
        <w:pStyle w:val="Codigo"/>
        <w:rPr>
          <w:sz w:val="20"/>
          <w:szCs w:val="20"/>
        </w:rPr>
      </w:pPr>
      <w:r w:rsidRPr="0009495C">
        <w:t xml:space="preserve">FROM </w:t>
      </w:r>
      <w:r w:rsidRPr="0009495C">
        <w:rPr>
          <w:i/>
          <w:iCs/>
        </w:rPr>
        <w:t>nome_táboa_1</w:t>
      </w:r>
      <w:r w:rsidRPr="0009495C">
        <w:t xml:space="preserve"> </w:t>
      </w:r>
      <w:r>
        <w:t>NATURAL [</w:t>
      </w:r>
      <w:r w:rsidRPr="0009495C">
        <w:t>{ LEFT | RIGTH }</w:t>
      </w:r>
      <w:r>
        <w:t xml:space="preserve"> </w:t>
      </w:r>
      <w:r w:rsidRPr="0009495C">
        <w:t>[ OUTER ]</w:t>
      </w:r>
      <w:r>
        <w:t>]</w:t>
      </w:r>
      <w:r w:rsidRPr="0009495C">
        <w:t xml:space="preserve"> JOIN </w:t>
      </w:r>
      <w:r w:rsidRPr="0009495C">
        <w:rPr>
          <w:i/>
          <w:iCs/>
        </w:rPr>
        <w:t>nome_táboa_2</w:t>
      </w:r>
    </w:p>
    <w:p w:rsidR="00CC6B5D" w:rsidRDefault="00CC6B5D" w:rsidP="00CC6B5D">
      <w:pPr>
        <w:pStyle w:val="tx1"/>
      </w:pPr>
      <w:r>
        <w:t>A combinación con NATURAL JOIN pode dar prioridade a algunha das táboas, cando se define como enlace externo (OUTER).</w:t>
      </w:r>
    </w:p>
    <w:p w:rsidR="00CC6B5D" w:rsidRPr="0009495C" w:rsidRDefault="00CC6B5D" w:rsidP="00CC6B5D">
      <w:pPr>
        <w:rPr>
          <w:sz w:val="20"/>
          <w:szCs w:val="20"/>
          <w:lang w:val="es-ES"/>
        </w:rPr>
      </w:pPr>
      <w:r>
        <w:rPr>
          <w:iCs/>
        </w:rPr>
        <w:t>Cando se utiliza NATURAL JOIN hai que ter coidado que nas dúas táboas só teñan o mesmo nome as columnas que se van a utilizar para facer o enlace, xa que en calquera o</w:t>
      </w:r>
      <w:r>
        <w:rPr>
          <w:iCs/>
        </w:rPr>
        <w:t>u</w:t>
      </w:r>
      <w:r>
        <w:rPr>
          <w:iCs/>
        </w:rPr>
        <w:lastRenderedPageBreak/>
        <w:t>tro caso os resultados obtidos poden ser imprevisibles.</w:t>
      </w:r>
    </w:p>
    <w:p w:rsidR="00CC6B5D" w:rsidRDefault="00CC6B5D" w:rsidP="00CC6B5D">
      <w:r>
        <w:t xml:space="preserve">Exemplo: mostrar os datos </w:t>
      </w:r>
      <w:r w:rsidR="00F14DE1">
        <w:t xml:space="preserve">de todas as columnas da táboa </w:t>
      </w:r>
      <w:r w:rsidR="00F14DE1" w:rsidRPr="00F14DE1">
        <w:rPr>
          <w:i/>
        </w:rPr>
        <w:t>departamento</w:t>
      </w:r>
      <w:r w:rsidR="00F14DE1">
        <w:t>,</w:t>
      </w:r>
      <w:r>
        <w:t xml:space="preserve"> completa</w:t>
      </w:r>
      <w:r w:rsidR="00F14DE1">
        <w:t xml:space="preserve">dos co nome da provincia da táboa </w:t>
      </w:r>
      <w:r w:rsidRPr="00F14DE1">
        <w:rPr>
          <w:i/>
        </w:rPr>
        <w:t>provin</w:t>
      </w:r>
      <w:r w:rsidR="00F14DE1" w:rsidRPr="00F14DE1">
        <w:rPr>
          <w:i/>
        </w:rPr>
        <w:t>cia</w:t>
      </w:r>
      <w:r>
        <w:t>.</w:t>
      </w:r>
    </w:p>
    <w:p w:rsidR="00CC6B5D" w:rsidRPr="00AF0D47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Utilización de NATURAL JOIN</w:t>
      </w: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*/</w:t>
      </w:r>
    </w:p>
    <w:p w:rsidR="00CC6B5D" w:rsidRPr="0049540C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49540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.*,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pr.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>provincia</w:t>
      </w:r>
    </w:p>
    <w:p w:rsidR="00CC6B5D" w:rsidRPr="0049540C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natural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</w:p>
    <w:p w:rsidR="00CC6B5D" w:rsidRPr="0049540C" w:rsidRDefault="00CC6B5D" w:rsidP="00CC6B5D">
      <w:pPr>
        <w:spacing w:after="0"/>
        <w:rPr>
          <w:sz w:val="16"/>
          <w:szCs w:val="16"/>
        </w:rPr>
      </w:pP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49540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C6B5D" w:rsidRPr="0049540C" w:rsidRDefault="00CC6B5D" w:rsidP="00CC6B5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636686" cy="1170127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587" cy="117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5D" w:rsidRDefault="00CC6B5D" w:rsidP="00CC6B5D">
      <w:pPr>
        <w:pStyle w:val="tx1"/>
        <w:rPr>
          <w:highlight w:val="white"/>
        </w:rPr>
      </w:pPr>
      <w:r>
        <w:rPr>
          <w:highlight w:val="white"/>
        </w:rPr>
        <w:t xml:space="preserve">Na mesma consulta pódense utilizar distintos tipos de composición. </w:t>
      </w:r>
    </w:p>
    <w:p w:rsidR="00CC6B5D" w:rsidRDefault="00CC6B5D" w:rsidP="00CC6B5D">
      <w:r>
        <w:rPr>
          <w:highlight w:val="white"/>
        </w:rPr>
        <w:t xml:space="preserve">Exemplo: </w:t>
      </w:r>
      <w:r>
        <w:t>mostrar apelidos e nome do empregado, nome do departamento no que trab</w:t>
      </w:r>
      <w:r>
        <w:t>a</w:t>
      </w:r>
      <w:r>
        <w:t>lla e nome da provincia no que está o departamento.</w:t>
      </w:r>
    </w:p>
    <w:p w:rsidR="00CC6B5D" w:rsidRPr="00A6540B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Utilización de dúas composicións, una delas NATURAL JOIN</w:t>
      </w: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*/</w:t>
      </w:r>
    </w:p>
    <w:p w:rsidR="00CC6B5D" w:rsidRPr="001B248C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pr.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provincia</w:t>
      </w:r>
    </w:p>
    <w:p w:rsidR="00CC6B5D" w:rsidRPr="001B248C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as em </w:t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as de </w:t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C6B5D" w:rsidRDefault="00CC6B5D" w:rsidP="00CC6B5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natural j</w:t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 pr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C6B5D" w:rsidRDefault="00CC6B5D" w:rsidP="00CC6B5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342488" cy="1202477"/>
            <wp:effectExtent l="19050" t="0" r="662" b="0"/>
            <wp:docPr id="2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356" cy="120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5C" w:rsidRPr="0009495C" w:rsidRDefault="00CB6FCC" w:rsidP="000542BD">
      <w:pPr>
        <w:pStyle w:val="n3"/>
        <w:rPr>
          <w:lang w:val="es-ES"/>
        </w:rPr>
      </w:pPr>
      <w:bookmarkStart w:id="13" w:name="__RefHeading__11376_1994205117"/>
      <w:bookmarkStart w:id="14" w:name="__RefHeading__60847_2017338258"/>
      <w:bookmarkStart w:id="15" w:name="_Toc480234094"/>
      <w:bookmarkEnd w:id="13"/>
      <w:bookmarkEnd w:id="14"/>
      <w:r>
        <w:t>Composición</w:t>
      </w:r>
      <w:r w:rsidR="0009495C" w:rsidRPr="0009495C">
        <w:t xml:space="preserve"> dunha táboa con ela mesma. Auto</w:t>
      </w:r>
      <w:r w:rsidR="00BD194C">
        <w:t>c</w:t>
      </w:r>
      <w:r>
        <w:t>omposición</w:t>
      </w:r>
      <w:bookmarkEnd w:id="15"/>
    </w:p>
    <w:p w:rsidR="0009495C" w:rsidRPr="009F1AF3" w:rsidRDefault="00513F60" w:rsidP="00AE5B25">
      <w:pPr>
        <w:pStyle w:val="tx1"/>
        <w:rPr>
          <w:sz w:val="20"/>
        </w:rPr>
      </w:pPr>
      <w:r w:rsidRPr="009F1AF3">
        <w:t>A autocomposición utilízase</w:t>
      </w:r>
      <w:r w:rsidR="0009495C" w:rsidRPr="009F1AF3">
        <w:t xml:space="preserve"> </w:t>
      </w:r>
      <w:r w:rsidR="00BD194C" w:rsidRPr="009F1AF3">
        <w:t>c</w:t>
      </w:r>
      <w:r w:rsidR="0009495C" w:rsidRPr="009F1AF3">
        <w:t xml:space="preserve">ando </w:t>
      </w:r>
      <w:r w:rsidRPr="009F1AF3">
        <w:t>hai que</w:t>
      </w:r>
      <w:r w:rsidR="0009495C" w:rsidRPr="009F1AF3">
        <w:t xml:space="preserve"> comparar unha fila dunha táboa con outras f</w:t>
      </w:r>
      <w:r w:rsidR="0009495C" w:rsidRPr="009F1AF3">
        <w:t>i</w:t>
      </w:r>
      <w:r w:rsidR="0009495C" w:rsidRPr="009F1AF3">
        <w:t>las da mesma táboa.</w:t>
      </w:r>
      <w:r w:rsidRPr="009F1AF3">
        <w:t xml:space="preserve"> </w:t>
      </w:r>
      <w:r w:rsidR="00CC390B" w:rsidRPr="009F1AF3">
        <w:t>Para evitar que a</w:t>
      </w:r>
      <w:r w:rsidRPr="009F1AF3">
        <w:t xml:space="preserve">o ler </w:t>
      </w:r>
      <w:r w:rsidR="00A248D1" w:rsidRPr="009F1AF3">
        <w:t xml:space="preserve">unha fila da táboa </w:t>
      </w:r>
      <w:r w:rsidR="00CC390B" w:rsidRPr="009F1AF3">
        <w:t xml:space="preserve">se perda </w:t>
      </w:r>
      <w:r w:rsidR="00A248D1" w:rsidRPr="009F1AF3">
        <w:t>a información da a</w:t>
      </w:r>
      <w:r w:rsidR="00A248D1" w:rsidRPr="009F1AF3">
        <w:t>n</w:t>
      </w:r>
      <w:r w:rsidR="00A248D1" w:rsidRPr="009F1AF3">
        <w:t>terior fila lida</w:t>
      </w:r>
      <w:r w:rsidR="00CC390B" w:rsidRPr="009F1AF3">
        <w:t xml:space="preserve">, </w:t>
      </w:r>
      <w:r w:rsidR="00A248D1" w:rsidRPr="009F1AF3">
        <w:t xml:space="preserve">pódese poñer </w:t>
      </w:r>
      <w:r w:rsidR="0009495C" w:rsidRPr="009F1AF3">
        <w:t xml:space="preserve">dúas veces o nome da táboa na cláusula FROM, asignándolle dous alias </w:t>
      </w:r>
      <w:r w:rsidR="00BD194C" w:rsidRPr="009F1AF3">
        <w:t xml:space="preserve">ou sinónimos </w:t>
      </w:r>
      <w:r w:rsidR="0009495C" w:rsidRPr="009F1AF3">
        <w:t>di</w:t>
      </w:r>
      <w:r w:rsidRPr="009F1AF3">
        <w:t>ferentes</w:t>
      </w:r>
      <w:r w:rsidR="00CC390B" w:rsidRPr="009F1AF3">
        <w:t>; a</w:t>
      </w:r>
      <w:r w:rsidRPr="009F1AF3">
        <w:t xml:space="preserve"> </w:t>
      </w:r>
      <w:r w:rsidR="0009495C" w:rsidRPr="009F1AF3">
        <w:t>partir dese momento</w:t>
      </w:r>
      <w:r w:rsidR="00CC390B" w:rsidRPr="009F1AF3">
        <w:t>,</w:t>
      </w:r>
      <w:r w:rsidR="0009495C" w:rsidRPr="009F1AF3">
        <w:t xml:space="preserve"> manéxanse como</w:t>
      </w:r>
      <w:r w:rsidR="007E7C96">
        <w:t xml:space="preserve"> se </w:t>
      </w:r>
      <w:r w:rsidR="0009495C" w:rsidRPr="009F1AF3">
        <w:t>foran dúas táboas distin</w:t>
      </w:r>
      <w:r w:rsidR="00AE5B25" w:rsidRPr="009F1AF3">
        <w:t>tas</w:t>
      </w:r>
      <w:r w:rsidR="0009495C" w:rsidRPr="009F1AF3">
        <w:t>. As con</w:t>
      </w:r>
      <w:r w:rsidR="007D6408" w:rsidRPr="009F1AF3">
        <w:t>sultas feitas cunha auto</w:t>
      </w:r>
      <w:r w:rsidRPr="009F1AF3">
        <w:t>c</w:t>
      </w:r>
      <w:r w:rsidR="00CB6FCC" w:rsidRPr="009F1AF3">
        <w:t>omposición</w:t>
      </w:r>
      <w:r w:rsidR="0009495C" w:rsidRPr="009F1AF3">
        <w:t xml:space="preserve"> poden </w:t>
      </w:r>
      <w:r w:rsidR="00AE5B25" w:rsidRPr="009F1AF3">
        <w:t xml:space="preserve">ser resoltas tamén </w:t>
      </w:r>
      <w:r w:rsidR="0009495C" w:rsidRPr="009F1AF3">
        <w:t>e</w:t>
      </w:r>
      <w:r w:rsidR="0009495C" w:rsidRPr="009F1AF3">
        <w:t>m</w:t>
      </w:r>
      <w:r w:rsidR="0009495C" w:rsidRPr="009F1AF3">
        <w:t>pregando sub</w:t>
      </w:r>
      <w:r w:rsidR="007D6408" w:rsidRPr="009F1AF3">
        <w:t>sentenz</w:t>
      </w:r>
      <w:r w:rsidR="00482BC5">
        <w:t>as</w:t>
      </w:r>
      <w:r w:rsidR="0009495C" w:rsidRPr="009F1AF3">
        <w:t>.</w:t>
      </w:r>
    </w:p>
    <w:p w:rsidR="0009495C" w:rsidRPr="0009495C" w:rsidRDefault="005E2A36" w:rsidP="00CC390B">
      <w:pPr>
        <w:rPr>
          <w:sz w:val="20"/>
        </w:rPr>
      </w:pPr>
      <w:r>
        <w:t>Exemplo: m</w:t>
      </w:r>
      <w:r w:rsidR="0009495C" w:rsidRPr="0009495C">
        <w:t xml:space="preserve">ostrar apelidos e nome dos empregados, e </w:t>
      </w:r>
      <w:r w:rsidR="00CC390B">
        <w:t xml:space="preserve">apelidos e nome </w:t>
      </w:r>
      <w:r w:rsidR="0009495C" w:rsidRPr="0009495C">
        <w:t>d</w:t>
      </w:r>
      <w:r w:rsidR="00CC390B">
        <w:t>o seu</w:t>
      </w:r>
      <w:r w:rsidR="0009495C" w:rsidRPr="0009495C">
        <w:t xml:space="preserve"> xe</w:t>
      </w:r>
      <w:r w:rsidR="00CC390B">
        <w:t>fe</w:t>
      </w:r>
      <w:r>
        <w:t>.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>/* Auto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composición</w:t>
      </w: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: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Enlace</w:t>
      </w: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dunha táboa con ela mesma */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E564F" w:rsidRPr="00AF0D47" w:rsidRDefault="00A6540B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em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apelidos </w:t>
      </w:r>
      <w:r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pelido_xefe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ome_xefe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6540B"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A6540B"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em2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dni_xefe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</w:p>
    <w:p w:rsidR="005E564F" w:rsidRDefault="005E564F" w:rsidP="005E564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pelido_xefe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ome_xefe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E7CA6" w:rsidRDefault="00EE7CA6" w:rsidP="00EE7CA6">
      <w:pPr>
        <w:pStyle w:val="formula1"/>
        <w:rPr>
          <w:highlight w:val="white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3121054" cy="1302701"/>
            <wp:effectExtent l="19050" t="0" r="3146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40" cy="130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38F" w:rsidRDefault="009F238F" w:rsidP="00A5050B">
      <w:pPr>
        <w:rPr>
          <w:highlight w:val="white"/>
        </w:rPr>
      </w:pPr>
    </w:p>
    <w:p w:rsidR="0056002F" w:rsidRPr="005F3DF5" w:rsidRDefault="0056002F" w:rsidP="0056002F">
      <w:pPr>
        <w:pStyle w:val="n5"/>
        <w:rPr>
          <w:color w:val="FF0000"/>
        </w:rPr>
      </w:pPr>
      <w:bookmarkStart w:id="16" w:name="_Toc423470483"/>
      <w:bookmarkStart w:id="17" w:name="_Toc480234095"/>
      <w:r w:rsidRPr="00BB3B7F">
        <w:t xml:space="preserve">Normas para a realización de </w:t>
      </w:r>
      <w:r>
        <w:t>composicións</w:t>
      </w:r>
      <w:r w:rsidRPr="00BB3B7F">
        <w:t xml:space="preserve"> internas</w:t>
      </w:r>
      <w:bookmarkEnd w:id="16"/>
      <w:r>
        <w:t xml:space="preserve"> e externas</w:t>
      </w:r>
      <w:bookmarkEnd w:id="17"/>
      <w:r>
        <w:t xml:space="preserve"> </w:t>
      </w:r>
    </w:p>
    <w:p w:rsidR="00923DED" w:rsidRDefault="00923DED" w:rsidP="00923DED">
      <w:pPr>
        <w:pStyle w:val="tx1"/>
      </w:pPr>
      <w:r>
        <w:t>Non existen normas estándar para as composicións internas e externas, pero a continu</w:t>
      </w:r>
      <w:r>
        <w:t>a</w:t>
      </w:r>
      <w:r>
        <w:t>ción enuméranse unha serie de conclusións sobre as composicións internas e externas que axudarán a utilizalas mellor.</w:t>
      </w:r>
    </w:p>
    <w:p w:rsidR="00923DED" w:rsidRDefault="00923DED" w:rsidP="0056002F">
      <w:pPr>
        <w:pStyle w:val="p1"/>
      </w:pPr>
      <w:r>
        <w:t xml:space="preserve">As columnas que se utilizan para facer a composición deben </w:t>
      </w:r>
      <w:r w:rsidR="00782926">
        <w:t>ser do mesmo tipo. Para mellorar o rendemento da consulta deben ter asociados índices</w:t>
      </w:r>
      <w:r>
        <w:t>.</w:t>
      </w:r>
    </w:p>
    <w:p w:rsidR="00923DED" w:rsidRDefault="00923DED" w:rsidP="0056002F">
      <w:pPr>
        <w:pStyle w:val="p1"/>
      </w:pPr>
      <w:r>
        <w:t xml:space="preserve">Cando se fai </w:t>
      </w:r>
      <w:r w:rsidR="009459F3">
        <w:t>unh</w:t>
      </w:r>
      <w:r>
        <w:t>a composición</w:t>
      </w:r>
      <w:r w:rsidR="003B7625">
        <w:t>,</w:t>
      </w:r>
      <w:r w:rsidR="009459F3">
        <w:t xml:space="preserve"> é como se</w:t>
      </w:r>
      <w:r>
        <w:t xml:space="preserve"> </w:t>
      </w:r>
      <w:r w:rsidR="009459F3">
        <w:t>crease</w:t>
      </w:r>
      <w:r>
        <w:t xml:space="preserve"> unha táboa que ten as columnas de todas as táboas que se combinan, e as filas que verifican as condicións de composición. Por esta razón, na sentenza</w:t>
      </w:r>
      <w:r w:rsidR="009459F3">
        <w:t xml:space="preserve"> SELECT póde</w:t>
      </w:r>
      <w:r w:rsidRPr="00BB3B7F">
        <w:t xml:space="preserve">se </w:t>
      </w:r>
      <w:r w:rsidR="009459F3">
        <w:t xml:space="preserve">utilizar </w:t>
      </w:r>
      <w:r>
        <w:t>calquera</w:t>
      </w:r>
      <w:r w:rsidR="009459F3">
        <w:t xml:space="preserve"> columna das</w:t>
      </w:r>
      <w:r>
        <w:t xml:space="preserve"> táboa</w:t>
      </w:r>
      <w:r w:rsidR="009459F3">
        <w:t>s</w:t>
      </w:r>
      <w:r>
        <w:t xml:space="preserve"> que </w:t>
      </w:r>
      <w:r w:rsidR="00D854C7">
        <w:t>se relacionan</w:t>
      </w:r>
      <w:r>
        <w:t xml:space="preserve"> na cláusula</w:t>
      </w:r>
      <w:r w:rsidRPr="00BB3B7F">
        <w:t xml:space="preserve"> FROM</w:t>
      </w:r>
      <w:r>
        <w:t>.</w:t>
      </w:r>
      <w:r w:rsidR="000809E5">
        <w:t xml:space="preserve"> </w:t>
      </w:r>
    </w:p>
    <w:p w:rsidR="00C429C1" w:rsidRDefault="0056002F" w:rsidP="00D74030">
      <w:pPr>
        <w:pStyle w:val="p1"/>
      </w:pPr>
      <w:r w:rsidRPr="00BB3B7F">
        <w:t xml:space="preserve">Pódense </w:t>
      </w:r>
      <w:r w:rsidR="00923DED">
        <w:t>combinar</w:t>
      </w:r>
      <w:r w:rsidRPr="00BB3B7F">
        <w:t xml:space="preserve"> tantas táboas como desexemo</w:t>
      </w:r>
      <w:r w:rsidR="00D74030">
        <w:t>s, pero poñer táboas innecesarias red</w:t>
      </w:r>
      <w:r w:rsidR="00D74030">
        <w:t>u</w:t>
      </w:r>
      <w:r w:rsidR="00D74030">
        <w:t>ce o rendemento da consulta.</w:t>
      </w:r>
      <w:r w:rsidR="00C429C1">
        <w:t xml:space="preserve"> </w:t>
      </w:r>
    </w:p>
    <w:p w:rsidR="0056002F" w:rsidRPr="00BB3B7F" w:rsidRDefault="00C429C1" w:rsidP="00D74030">
      <w:pPr>
        <w:pStyle w:val="p1"/>
      </w:pPr>
      <w:r>
        <w:t>Unha mesma táboa pode aparecer</w:t>
      </w:r>
      <w:r w:rsidR="007E7C96">
        <w:t xml:space="preserve"> máis </w:t>
      </w:r>
      <w:r>
        <w:t>dunha vez na composición, pero utilizando alias diferentes.</w:t>
      </w:r>
    </w:p>
    <w:p w:rsidR="0056002F" w:rsidRPr="00BB3B7F" w:rsidRDefault="00923DED" w:rsidP="0056002F">
      <w:pPr>
        <w:pStyle w:val="p1"/>
      </w:pPr>
      <w:r>
        <w:t>Recoméndase utilizar nomes de columna cualificados</w:t>
      </w:r>
      <w:r w:rsidR="0056002F" w:rsidRPr="00BB3B7F">
        <w:t>.</w:t>
      </w:r>
      <w:r>
        <w:t xml:space="preserve"> Ver o apartado </w:t>
      </w:r>
      <w:r w:rsidRPr="00923DED">
        <w:rPr>
          <w:i/>
        </w:rPr>
        <w:t>'Nomes de c</w:t>
      </w:r>
      <w:r w:rsidRPr="00923DED">
        <w:rPr>
          <w:i/>
        </w:rPr>
        <w:t>o</w:t>
      </w:r>
      <w:r w:rsidRPr="00923DED">
        <w:rPr>
          <w:i/>
        </w:rPr>
        <w:t>lumna cualificados'</w:t>
      </w:r>
      <w:r>
        <w:t xml:space="preserve"> ao principio d</w:t>
      </w:r>
      <w:r w:rsidR="00482BC5">
        <w:t>o documento</w:t>
      </w:r>
      <w:r>
        <w:t>.</w:t>
      </w:r>
    </w:p>
    <w:p w:rsidR="0056002F" w:rsidRDefault="0056002F" w:rsidP="0056002F">
      <w:pPr>
        <w:pStyle w:val="p1"/>
      </w:pPr>
      <w:r>
        <w:t>Se</w:t>
      </w:r>
      <w:r w:rsidRPr="00BB3B7F">
        <w:t xml:space="preserve"> as condicións de </w:t>
      </w:r>
      <w:r>
        <w:t>composición van na</w:t>
      </w:r>
      <w:r w:rsidRPr="00BB3B7F">
        <w:t xml:space="preserve"> </w:t>
      </w:r>
      <w:r w:rsidR="003B7625">
        <w:t xml:space="preserve">cláusula </w:t>
      </w:r>
      <w:r w:rsidRPr="00BB3B7F">
        <w:t xml:space="preserve">WHERE, hai que ter en conta que primeiro debemos poñer todas aquelas condicións que non sexan de </w:t>
      </w:r>
      <w:r>
        <w:t>composición</w:t>
      </w:r>
      <w:r w:rsidRPr="00BB3B7F">
        <w:t>. De</w:t>
      </w:r>
      <w:r w:rsidRPr="00BB3B7F">
        <w:t>s</w:t>
      </w:r>
      <w:r w:rsidRPr="00BB3B7F">
        <w:t xml:space="preserve">te xeito o produto cartesiano previo ao </w:t>
      </w:r>
      <w:r w:rsidRPr="00C904F8">
        <w:rPr>
          <w:i/>
        </w:rPr>
        <w:t>join</w:t>
      </w:r>
      <w:r w:rsidRPr="00BB3B7F">
        <w:t xml:space="preserve"> terá menos filas que combinar.</w:t>
      </w:r>
    </w:p>
    <w:p w:rsidR="00D74030" w:rsidRPr="00D74030" w:rsidRDefault="0056002F" w:rsidP="0056002F">
      <w:pPr>
        <w:pStyle w:val="p1"/>
        <w:rPr>
          <w:color w:val="FF0000"/>
        </w:rPr>
      </w:pPr>
      <w:r>
        <w:t xml:space="preserve">Se unha táboa ten unha clave primaria composta, </w:t>
      </w:r>
      <w:r w:rsidR="00D74030">
        <w:t xml:space="preserve">nas condicións de composición hai que </w:t>
      </w:r>
      <w:r>
        <w:t>facer referencia á clave enteira</w:t>
      </w:r>
      <w:r w:rsidR="00332BAE">
        <w:t xml:space="preserve">. Exemplo: Temos unha táboa </w:t>
      </w:r>
      <w:r w:rsidR="00332BAE" w:rsidRPr="00332BAE">
        <w:rPr>
          <w:i/>
        </w:rPr>
        <w:t>t1</w:t>
      </w:r>
      <w:r w:rsidR="00332BAE">
        <w:t xml:space="preserve"> que ten unha clave primaria composta formada polas columnas (</w:t>
      </w:r>
      <w:r w:rsidR="00332BAE" w:rsidRPr="00332BAE">
        <w:rPr>
          <w:i/>
        </w:rPr>
        <w:t>cp1,cp2</w:t>
      </w:r>
      <w:r w:rsidR="00332BAE">
        <w:t xml:space="preserve">), e unha táboa </w:t>
      </w:r>
      <w:r w:rsidR="00332BAE" w:rsidRPr="00332BAE">
        <w:rPr>
          <w:i/>
        </w:rPr>
        <w:t>t2</w:t>
      </w:r>
      <w:r w:rsidR="00332BAE">
        <w:t xml:space="preserve"> que ten unha clave foránea composta polas columnas (</w:t>
      </w:r>
      <w:r w:rsidR="00332BAE" w:rsidRPr="00332BAE">
        <w:rPr>
          <w:i/>
        </w:rPr>
        <w:t>cf1,cf2</w:t>
      </w:r>
      <w:r w:rsidR="00332BAE">
        <w:t>) que fai referencia á clave primaria da táboa t1. A condición de composición podería ser:</w:t>
      </w:r>
    </w:p>
    <w:p w:rsidR="00D74030" w:rsidRDefault="00D74030" w:rsidP="00D74030">
      <w:pPr>
        <w:pStyle w:val="Codigo"/>
      </w:pPr>
    </w:p>
    <w:tbl>
      <w:tblPr>
        <w:tblStyle w:val="Tablaconcuadrcula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37"/>
        <w:gridCol w:w="2268"/>
      </w:tblGrid>
      <w:tr w:rsidR="00D74030" w:rsidTr="00332BAE">
        <w:trPr>
          <w:jc w:val="center"/>
        </w:trPr>
        <w:tc>
          <w:tcPr>
            <w:tcW w:w="3837" w:type="dxa"/>
          </w:tcPr>
          <w:p w:rsidR="00D74030" w:rsidRPr="00D74030" w:rsidRDefault="00D74030" w:rsidP="00D74030">
            <w:pPr>
              <w:pStyle w:val="Codigo"/>
              <w:spacing w:before="0" w:after="0"/>
              <w:ind w:left="0" w:firstLine="0"/>
              <w:rPr>
                <w:color w:val="FF0000"/>
              </w:rPr>
            </w:pPr>
            <w:r>
              <w:t xml:space="preserve">t1.cp1 = t2.cf1 and t1.cp2 = t2.cf2 </w:t>
            </w:r>
          </w:p>
        </w:tc>
        <w:tc>
          <w:tcPr>
            <w:tcW w:w="2268" w:type="dxa"/>
          </w:tcPr>
          <w:p w:rsidR="00D74030" w:rsidRDefault="00D74030" w:rsidP="00D74030">
            <w:pPr>
              <w:pStyle w:val="tt1n"/>
            </w:pPr>
            <w:r>
              <w:t>Condición composta</w:t>
            </w:r>
          </w:p>
        </w:tc>
      </w:tr>
      <w:tr w:rsidR="00D74030" w:rsidTr="00332BAE">
        <w:trPr>
          <w:jc w:val="center"/>
        </w:trPr>
        <w:tc>
          <w:tcPr>
            <w:tcW w:w="3837" w:type="dxa"/>
          </w:tcPr>
          <w:p w:rsidR="00D74030" w:rsidRDefault="00D74030" w:rsidP="00D74030">
            <w:pPr>
              <w:pStyle w:val="Codigo"/>
              <w:spacing w:before="0" w:after="0"/>
              <w:ind w:left="0" w:firstLine="0"/>
            </w:pPr>
            <w:r>
              <w:t>(t1.cp1, t1.cp2) =</w:t>
            </w:r>
            <w:r w:rsidR="00332BAE">
              <w:t xml:space="preserve"> </w:t>
            </w:r>
            <w:r>
              <w:t>(t2.cf1,t2.cf2)</w:t>
            </w:r>
          </w:p>
        </w:tc>
        <w:tc>
          <w:tcPr>
            <w:tcW w:w="2268" w:type="dxa"/>
          </w:tcPr>
          <w:p w:rsidR="00D74030" w:rsidRDefault="00D74030" w:rsidP="00D74030">
            <w:pPr>
              <w:pStyle w:val="tt1n"/>
            </w:pPr>
            <w:r>
              <w:t>Comparación de valores tipo fila</w:t>
            </w:r>
          </w:p>
        </w:tc>
      </w:tr>
    </w:tbl>
    <w:p w:rsidR="006338D9" w:rsidRDefault="006338D9" w:rsidP="000542BD">
      <w:pPr>
        <w:pStyle w:val="n2"/>
      </w:pPr>
      <w:bookmarkStart w:id="18" w:name="_Toc480234096"/>
      <w:r>
        <w:t>Unión de consultas (UNION)</w:t>
      </w:r>
      <w:bookmarkEnd w:id="18"/>
    </w:p>
    <w:p w:rsidR="006338D9" w:rsidRDefault="00AE5B25" w:rsidP="006338D9">
      <w:pPr>
        <w:pStyle w:val="tx1"/>
      </w:pPr>
      <w:r>
        <w:t xml:space="preserve">A cláusula </w:t>
      </w:r>
      <w:r w:rsidR="006338D9">
        <w:t xml:space="preserve">UNION utilízase para combinar o resultado de varias consultas </w:t>
      </w:r>
      <w:r w:rsidR="00C1602F">
        <w:t>n</w:t>
      </w:r>
      <w:r w:rsidR="006338D9">
        <w:t>un único co</w:t>
      </w:r>
      <w:r w:rsidR="006338D9">
        <w:t>n</w:t>
      </w:r>
      <w:r w:rsidR="006338D9">
        <w:t xml:space="preserve">xunto de resultados. </w:t>
      </w:r>
      <w:r w:rsidR="00CB2AA3">
        <w:t>A s</w:t>
      </w:r>
      <w:r w:rsidR="006338D9">
        <w:t>intaxe</w:t>
      </w:r>
      <w:r w:rsidR="00CB2AA3">
        <w:t xml:space="preserve"> é</w:t>
      </w:r>
      <w:r w:rsidR="006338D9">
        <w:t>:</w:t>
      </w:r>
    </w:p>
    <w:p w:rsidR="006338D9" w:rsidRDefault="006338D9" w:rsidP="006338D9">
      <w:pPr>
        <w:pStyle w:val="Codigo"/>
      </w:pPr>
      <w:r>
        <w:t xml:space="preserve">Sentenza </w:t>
      </w:r>
      <w:r w:rsidRPr="006338D9">
        <w:t xml:space="preserve">SELECT </w:t>
      </w:r>
    </w:p>
    <w:p w:rsidR="006338D9" w:rsidRPr="006338D9" w:rsidRDefault="006338D9" w:rsidP="006338D9">
      <w:pPr>
        <w:pStyle w:val="Codigo"/>
      </w:pPr>
      <w:r w:rsidRPr="006338D9">
        <w:t>UNION [ALL | DISTINCT]</w:t>
      </w:r>
    </w:p>
    <w:p w:rsidR="006338D9" w:rsidRPr="006338D9" w:rsidRDefault="006338D9" w:rsidP="006338D9">
      <w:pPr>
        <w:pStyle w:val="Codigo"/>
      </w:pPr>
      <w:r>
        <w:t xml:space="preserve">Sentenza </w:t>
      </w:r>
      <w:r w:rsidRPr="006338D9">
        <w:t xml:space="preserve">SELECT </w:t>
      </w:r>
    </w:p>
    <w:p w:rsidR="006338D9" w:rsidRPr="006338D9" w:rsidRDefault="006338D9" w:rsidP="006338D9">
      <w:pPr>
        <w:pStyle w:val="Codigo"/>
      </w:pPr>
      <w:r w:rsidRPr="006338D9">
        <w:t>[UNION [ALL | DISTINCT]</w:t>
      </w:r>
    </w:p>
    <w:p w:rsidR="006338D9" w:rsidRPr="006338D9" w:rsidRDefault="006338D9" w:rsidP="006338D9">
      <w:pPr>
        <w:pStyle w:val="Codigo"/>
      </w:pPr>
      <w:r>
        <w:t>Sentenza SELECT</w:t>
      </w:r>
      <w:r w:rsidRPr="006338D9">
        <w:t>] ...</w:t>
      </w:r>
    </w:p>
    <w:p w:rsidR="00CB2AA3" w:rsidRDefault="006338D9" w:rsidP="00761845">
      <w:pPr>
        <w:pStyle w:val="p1"/>
      </w:pPr>
      <w:r>
        <w:lastRenderedPageBreak/>
        <w:t xml:space="preserve">As opcións ALL e DISTINCT permiten indicar se hai que mostrar as filas duplicadas ou non. </w:t>
      </w:r>
      <w:r w:rsidR="00CB2AA3">
        <w:t xml:space="preserve">O valor por defecto é DISTINCT. </w:t>
      </w:r>
      <w:r w:rsidR="00761845">
        <w:t xml:space="preserve">Para que se mostren as filas duplicadas hai que poñer a opción ALL. </w:t>
      </w:r>
    </w:p>
    <w:p w:rsidR="00CB2AA3" w:rsidRDefault="002A15BB" w:rsidP="006338D9">
      <w:pPr>
        <w:pStyle w:val="p1"/>
      </w:pPr>
      <w:r>
        <w:t>As sentenzas SELECT que se utilizan na UNION teñen que ter o mesmo nú</w:t>
      </w:r>
      <w:r w:rsidR="006338D9">
        <w:t>mero de c</w:t>
      </w:r>
      <w:r w:rsidR="006338D9">
        <w:t>o</w:t>
      </w:r>
      <w:r w:rsidR="006338D9">
        <w:t>lumnas</w:t>
      </w:r>
      <w:r>
        <w:t xml:space="preserve"> na lista de selección</w:t>
      </w:r>
      <w:r w:rsidR="006338D9">
        <w:t>. As columnas seleccionadas teñen que ser d</w:t>
      </w:r>
      <w:r w:rsidR="00CB2AA3">
        <w:t>o mesmo tipo</w:t>
      </w:r>
      <w:r>
        <w:t xml:space="preserve"> en todas as sentenzas SELECT</w:t>
      </w:r>
      <w:r w:rsidR="00CB2AA3">
        <w:t>. Por exemplo, se</w:t>
      </w:r>
      <w:r w:rsidR="006338D9">
        <w:t xml:space="preserve"> a primeira consulta selecciona tres c</w:t>
      </w:r>
      <w:r w:rsidR="006338D9">
        <w:t>o</w:t>
      </w:r>
      <w:r w:rsidR="006338D9">
        <w:t>lumnas, o resto das sentenzas SELECT deben selecci</w:t>
      </w:r>
      <w:r w:rsidR="00CB2AA3">
        <w:t>onar tamén tres columnas; se</w:t>
      </w:r>
      <w:r w:rsidR="006338D9">
        <w:t xml:space="preserve"> a primeira columna da primeira consulta é de tipo char(50), a primeira columna d</w:t>
      </w:r>
      <w:r w:rsidR="003B7625">
        <w:t>o resto de sentenzas SELECT te</w:t>
      </w:r>
      <w:r w:rsidR="006338D9">
        <w:t>n que ser de tipo char(50).</w:t>
      </w:r>
    </w:p>
    <w:p w:rsidR="00CB2AA3" w:rsidRDefault="006338D9" w:rsidP="006338D9">
      <w:pPr>
        <w:pStyle w:val="p1"/>
      </w:pPr>
      <w:r>
        <w:t xml:space="preserve">Os nomes das columnas </w:t>
      </w:r>
      <w:r w:rsidR="00761845">
        <w:t xml:space="preserve">da táboa </w:t>
      </w:r>
      <w:r w:rsidR="00CB2AA3">
        <w:t xml:space="preserve">resultante </w:t>
      </w:r>
      <w:r w:rsidR="00761845">
        <w:t xml:space="preserve">da UNION son os que corresponden aos nomes das columnas </w:t>
      </w:r>
      <w:r>
        <w:t>da primeira sentenza SELECT.</w:t>
      </w:r>
    </w:p>
    <w:p w:rsidR="006338D9" w:rsidRDefault="006338D9" w:rsidP="006338D9">
      <w:pPr>
        <w:pStyle w:val="p1"/>
      </w:pPr>
      <w:r>
        <w:t>Restricións para as sentenzas SELECT que participan nunha unión:</w:t>
      </w:r>
    </w:p>
    <w:p w:rsidR="006338D9" w:rsidRDefault="00C1602F" w:rsidP="00CB2AA3">
      <w:pPr>
        <w:pStyle w:val="p2"/>
      </w:pPr>
      <w:r>
        <w:t>A cláusula INTO OUTFILE só a pode levar a última sentenza.</w:t>
      </w:r>
    </w:p>
    <w:p w:rsidR="00CB2AA3" w:rsidRDefault="00C1602F" w:rsidP="00C1602F">
      <w:pPr>
        <w:pStyle w:val="p2"/>
      </w:pPr>
      <w:r>
        <w:t>Non se pode utilizar a opción HIGH_PRIORITY. N</w:t>
      </w:r>
      <w:r w:rsidR="00AE5B25">
        <w:t>on se mostra erro n</w:t>
      </w:r>
      <w:r>
        <w:t xml:space="preserve">o caso </w:t>
      </w:r>
      <w:r w:rsidR="00CB2AA3">
        <w:t>d</w:t>
      </w:r>
      <w:r>
        <w:t>e p</w:t>
      </w:r>
      <w:r>
        <w:t>o</w:t>
      </w:r>
      <w:r>
        <w:t>ñela na primeira sentenza, pero non se ten en conta</w:t>
      </w:r>
      <w:r w:rsidR="00CB2AA3">
        <w:t>. N</w:t>
      </w:r>
      <w:r>
        <w:t>o caso de poñela en calquera das outras sentenzas</w:t>
      </w:r>
      <w:r w:rsidR="00CB2AA3">
        <w:t>,</w:t>
      </w:r>
      <w:r>
        <w:t xml:space="preserve"> móstrase unha mensaxe de erro de sintaxe.</w:t>
      </w:r>
    </w:p>
    <w:p w:rsidR="00CB2AA3" w:rsidRDefault="00C1602F" w:rsidP="00E563C0">
      <w:pPr>
        <w:pStyle w:val="p1"/>
      </w:pPr>
      <w:r>
        <w:t>Cando se quere</w:t>
      </w:r>
      <w:r w:rsidR="00E563C0">
        <w:t>n</w:t>
      </w:r>
      <w:r>
        <w:t xml:space="preserve"> utilizar as cláusulas ORDER BY ou LIMIT, hai que pechar as sente</w:t>
      </w:r>
      <w:r>
        <w:t>n</w:t>
      </w:r>
      <w:r>
        <w:t xml:space="preserve">zas SELECT entre parénteses. </w:t>
      </w:r>
    </w:p>
    <w:p w:rsidR="00AE5B25" w:rsidRDefault="00C1602F" w:rsidP="00E563C0">
      <w:pPr>
        <w:pStyle w:val="p1"/>
      </w:pPr>
      <w:r>
        <w:t>No</w:t>
      </w:r>
      <w:r w:rsidR="008320CD">
        <w:t xml:space="preserve">n ten efecto </w:t>
      </w:r>
      <w:r>
        <w:t>a cláusula ORDER BY dentro dos parénteses</w:t>
      </w:r>
      <w:r w:rsidR="00CB2AA3">
        <w:t xml:space="preserve">, </w:t>
      </w:r>
      <w:r>
        <w:t xml:space="preserve"> xa que a UNION prod</w:t>
      </w:r>
      <w:r>
        <w:t>u</w:t>
      </w:r>
      <w:r>
        <w:t xml:space="preserve">ce un conxunto de filas desordenadas. </w:t>
      </w:r>
      <w:r w:rsidR="00E563C0">
        <w:t>Só ten sentido utilizar a cláusula ORDER BY p</w:t>
      </w:r>
      <w:r w:rsidR="00E563C0">
        <w:t>a</w:t>
      </w:r>
      <w:r w:rsidR="00E563C0">
        <w:t xml:space="preserve">ra unha sentenza SELECT individual cando se combina coa cláusula LIMIT. </w:t>
      </w:r>
    </w:p>
    <w:p w:rsidR="00E563C0" w:rsidRDefault="00E563C0" w:rsidP="00AE5B25">
      <w:pPr>
        <w:pStyle w:val="sp11"/>
      </w:pPr>
      <w:r>
        <w:t>Exemplo</w:t>
      </w:r>
      <w:r w:rsidR="00B217EF">
        <w:t xml:space="preserve"> </w:t>
      </w:r>
      <w:r w:rsidR="00AE5B25">
        <w:t xml:space="preserve">extraído </w:t>
      </w:r>
      <w:r w:rsidR="00B217EF">
        <w:t>do manual de referencia de MySQL 5.6</w:t>
      </w:r>
      <w:r>
        <w:t>:</w:t>
      </w:r>
    </w:p>
    <w:p w:rsidR="00E563C0" w:rsidRPr="00B217EF" w:rsidRDefault="00E563C0" w:rsidP="00B217EF">
      <w:pPr>
        <w:pStyle w:val="Codigo"/>
      </w:pPr>
      <w:r w:rsidRPr="00B217EF">
        <w:t>(SELECT a FROM tbl_name WHERE a=10 AND B=1 ORDER BY a LIMIT 10)</w:t>
      </w:r>
    </w:p>
    <w:p w:rsidR="00E563C0" w:rsidRPr="00B217EF" w:rsidRDefault="00E563C0" w:rsidP="00B217EF">
      <w:pPr>
        <w:pStyle w:val="Codigo"/>
      </w:pPr>
      <w:r w:rsidRPr="00B217EF">
        <w:t>UNION</w:t>
      </w:r>
    </w:p>
    <w:p w:rsidR="00E563C0" w:rsidRPr="00B217EF" w:rsidRDefault="00E563C0" w:rsidP="00B217EF">
      <w:pPr>
        <w:pStyle w:val="Codigo"/>
      </w:pPr>
      <w:r w:rsidRPr="00B217EF">
        <w:t>(SELECT a FROM tbl_name WHERE a=11 AND B=2 ORDER BY a LIMIT 10);</w:t>
      </w:r>
    </w:p>
    <w:p w:rsidR="00AE5B25" w:rsidRDefault="00C1602F" w:rsidP="00CB2AA3">
      <w:pPr>
        <w:pStyle w:val="p1"/>
      </w:pPr>
      <w:r>
        <w:t>No caso de querer ordenar as filas que forman o conxunto de resultados</w:t>
      </w:r>
      <w:r w:rsidR="00CB2AA3">
        <w:t>,</w:t>
      </w:r>
      <w:r>
        <w:t xml:space="preserve"> hai </w:t>
      </w:r>
      <w:r w:rsidR="008320CD">
        <w:t>que poñer a cláusula  ORDER BY fó</w:t>
      </w:r>
      <w:r>
        <w:t>ra dos parénteses</w:t>
      </w:r>
      <w:r w:rsidR="00E563C0">
        <w:t>,</w:t>
      </w:r>
      <w:r>
        <w:t xml:space="preserve"> despois da última sentenza SELECT.</w:t>
      </w:r>
      <w:r w:rsidR="00E563C0">
        <w:t xml:space="preserve"> T</w:t>
      </w:r>
      <w:r w:rsidR="00E563C0">
        <w:t>a</w:t>
      </w:r>
      <w:r w:rsidR="00E563C0">
        <w:t>mén é posible limitar o número de filas que forman o conxunto de resulta</w:t>
      </w:r>
      <w:r w:rsidR="00AE5B25">
        <w:t>dos poñendo a  cláusula LIMIT fó</w:t>
      </w:r>
      <w:r w:rsidR="00E563C0">
        <w:t xml:space="preserve">ra dos parénteses, despois da última sentenza SELECT. </w:t>
      </w:r>
    </w:p>
    <w:p w:rsidR="00C1602F" w:rsidRDefault="00AE5B25" w:rsidP="00AE5B25">
      <w:pPr>
        <w:pStyle w:val="sp11"/>
      </w:pPr>
      <w:r>
        <w:t>Exemplo extraído do manual de referencia de MySQL 5.6:</w:t>
      </w:r>
    </w:p>
    <w:p w:rsidR="00E563C0" w:rsidRPr="00B217EF" w:rsidRDefault="00E563C0" w:rsidP="00B217EF">
      <w:pPr>
        <w:pStyle w:val="Codigo"/>
      </w:pPr>
      <w:r w:rsidRPr="00B217EF">
        <w:t>(SELECT a FROM tbl_name WHERE a=10 AND B=1)</w:t>
      </w:r>
    </w:p>
    <w:p w:rsidR="00E563C0" w:rsidRPr="00B217EF" w:rsidRDefault="00E563C0" w:rsidP="00B217EF">
      <w:pPr>
        <w:pStyle w:val="Codigo"/>
      </w:pPr>
      <w:r w:rsidRPr="00B217EF">
        <w:t>UNION</w:t>
      </w:r>
    </w:p>
    <w:p w:rsidR="00E563C0" w:rsidRPr="00B217EF" w:rsidRDefault="00E563C0" w:rsidP="00B217EF">
      <w:pPr>
        <w:pStyle w:val="Codigo"/>
      </w:pPr>
      <w:r w:rsidRPr="00B217EF">
        <w:t>(SELECT a FROM tbl_name WHERE a=11 AND B=2)</w:t>
      </w:r>
    </w:p>
    <w:p w:rsidR="006338D9" w:rsidRDefault="00E563C0" w:rsidP="008A255F">
      <w:pPr>
        <w:pStyle w:val="Codigo"/>
      </w:pPr>
      <w:r w:rsidRPr="00B217EF">
        <w:t>ORDER BY a LIMIT 10;</w:t>
      </w:r>
    </w:p>
    <w:sectPr w:rsidR="006338D9" w:rsidSect="000E0EC9">
      <w:headerReference w:type="even" r:id="rId23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3FE" w:rsidRDefault="00EF13FE">
      <w:r>
        <w:separator/>
      </w:r>
    </w:p>
    <w:p w:rsidR="00EF13FE" w:rsidRDefault="00EF13FE"/>
  </w:endnote>
  <w:endnote w:type="continuationSeparator" w:id="1">
    <w:p w:rsidR="00EF13FE" w:rsidRDefault="00EF13FE">
      <w:r>
        <w:continuationSeparator/>
      </w:r>
    </w:p>
    <w:p w:rsidR="00EF13FE" w:rsidRDefault="00EF13F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55F" w:rsidRDefault="008A255F" w:rsidP="00764FEA">
    <w:pPr>
      <w:pStyle w:val="Piedepgina"/>
      <w:ind w:left="0" w:firstLine="0"/>
      <w:jc w:val="center"/>
      <w:rPr>
        <w:rFonts w:ascii="Arial Narrow" w:hAnsi="Arial Narrow"/>
      </w:rPr>
    </w:pPr>
  </w:p>
  <w:p w:rsidR="008A255F" w:rsidRPr="000B3186" w:rsidRDefault="008A255F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DF4A6D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DF4A6D" w:rsidRPr="000B3186">
      <w:rPr>
        <w:rFonts w:ascii="Arial" w:hAnsi="Arial" w:cs="Arial"/>
        <w:b/>
      </w:rPr>
      <w:fldChar w:fldCharType="separate"/>
    </w:r>
    <w:r w:rsidR="00482BC5">
      <w:rPr>
        <w:rFonts w:ascii="Arial" w:hAnsi="Arial" w:cs="Arial"/>
        <w:b/>
        <w:noProof/>
      </w:rPr>
      <w:t>1</w:t>
    </w:r>
    <w:r w:rsidR="00DF4A6D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482BC5" w:rsidRPr="00482BC5">
        <w:rPr>
          <w:rFonts w:ascii="Arial" w:hAnsi="Arial" w:cs="Arial"/>
          <w:b/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3FE" w:rsidRDefault="00EF13FE" w:rsidP="00B051E2">
      <w:pPr>
        <w:pStyle w:val="tx1"/>
      </w:pPr>
      <w:r>
        <w:separator/>
      </w:r>
    </w:p>
  </w:footnote>
  <w:footnote w:type="continuationSeparator" w:id="1">
    <w:p w:rsidR="00EF13FE" w:rsidRDefault="00EF13FE" w:rsidP="00B051E2">
      <w:pPr>
        <w:pStyle w:val="tx1"/>
      </w:pPr>
      <w:r>
        <w:continuationSeparator/>
      </w:r>
    </w:p>
    <w:p w:rsidR="00EF13FE" w:rsidRDefault="00EF13FE"/>
  </w:footnote>
  <w:footnote w:type="continuationNotice" w:id="2">
    <w:p w:rsidR="00EF13FE" w:rsidRDefault="00EF13FE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55F" w:rsidRDefault="008A255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2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3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5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6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3"/>
  </w:num>
  <w:num w:numId="6">
    <w:abstractNumId w:val="72"/>
  </w:num>
  <w:num w:numId="7">
    <w:abstractNumId w:val="66"/>
  </w:num>
  <w:num w:numId="8">
    <w:abstractNumId w:val="68"/>
  </w:num>
  <w:num w:numId="9">
    <w:abstractNumId w:val="74"/>
  </w:num>
  <w:num w:numId="10">
    <w:abstractNumId w:val="55"/>
  </w:num>
  <w:num w:numId="11">
    <w:abstractNumId w:val="69"/>
  </w:num>
  <w:num w:numId="12">
    <w:abstractNumId w:val="67"/>
  </w:num>
  <w:num w:numId="13">
    <w:abstractNumId w:val="63"/>
  </w:num>
  <w:num w:numId="14">
    <w:abstractNumId w:val="75"/>
  </w:num>
  <w:num w:numId="15">
    <w:abstractNumId w:val="65"/>
  </w:num>
  <w:num w:numId="16">
    <w:abstractNumId w:val="64"/>
  </w:num>
  <w:num w:numId="17">
    <w:abstractNumId w:val="60"/>
  </w:num>
  <w:num w:numId="18">
    <w:abstractNumId w:val="61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56"/>
  </w:num>
  <w:num w:numId="25">
    <w:abstractNumId w:val="56"/>
    <w:lvlOverride w:ilvl="0">
      <w:startOverride w:val="1"/>
    </w:lvlOverride>
  </w:num>
  <w:num w:numId="26">
    <w:abstractNumId w:val="57"/>
  </w:num>
  <w:num w:numId="27">
    <w:abstractNumId w:val="66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280B"/>
    <w:rsid w:val="0000306C"/>
    <w:rsid w:val="0000328F"/>
    <w:rsid w:val="000038AB"/>
    <w:rsid w:val="00003C7F"/>
    <w:rsid w:val="000045D4"/>
    <w:rsid w:val="000049CB"/>
    <w:rsid w:val="00005465"/>
    <w:rsid w:val="00005A6D"/>
    <w:rsid w:val="00011030"/>
    <w:rsid w:val="0001116C"/>
    <w:rsid w:val="00012DC9"/>
    <w:rsid w:val="00013734"/>
    <w:rsid w:val="0001533D"/>
    <w:rsid w:val="000224DB"/>
    <w:rsid w:val="0002446C"/>
    <w:rsid w:val="00024D5C"/>
    <w:rsid w:val="00025A8B"/>
    <w:rsid w:val="00025BB6"/>
    <w:rsid w:val="00027E58"/>
    <w:rsid w:val="00030CBD"/>
    <w:rsid w:val="00031694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DC4"/>
    <w:rsid w:val="000542BD"/>
    <w:rsid w:val="000549B8"/>
    <w:rsid w:val="000562A9"/>
    <w:rsid w:val="00060001"/>
    <w:rsid w:val="00060144"/>
    <w:rsid w:val="00060D14"/>
    <w:rsid w:val="00063FD8"/>
    <w:rsid w:val="00064DE8"/>
    <w:rsid w:val="0006695A"/>
    <w:rsid w:val="00066F75"/>
    <w:rsid w:val="0006785C"/>
    <w:rsid w:val="000713EF"/>
    <w:rsid w:val="000723E9"/>
    <w:rsid w:val="0007435B"/>
    <w:rsid w:val="00075884"/>
    <w:rsid w:val="00077433"/>
    <w:rsid w:val="000809E5"/>
    <w:rsid w:val="00080CE6"/>
    <w:rsid w:val="00080D33"/>
    <w:rsid w:val="00087950"/>
    <w:rsid w:val="000911AF"/>
    <w:rsid w:val="00093713"/>
    <w:rsid w:val="00093F71"/>
    <w:rsid w:val="0009495C"/>
    <w:rsid w:val="000956B7"/>
    <w:rsid w:val="00096785"/>
    <w:rsid w:val="00096A89"/>
    <w:rsid w:val="0009733C"/>
    <w:rsid w:val="00097B71"/>
    <w:rsid w:val="000A0608"/>
    <w:rsid w:val="000A0623"/>
    <w:rsid w:val="000A0814"/>
    <w:rsid w:val="000A0A11"/>
    <w:rsid w:val="000A0DC9"/>
    <w:rsid w:val="000A1879"/>
    <w:rsid w:val="000A1993"/>
    <w:rsid w:val="000A1C13"/>
    <w:rsid w:val="000A443E"/>
    <w:rsid w:val="000A4521"/>
    <w:rsid w:val="000A4731"/>
    <w:rsid w:val="000A542F"/>
    <w:rsid w:val="000B1ACC"/>
    <w:rsid w:val="000B226B"/>
    <w:rsid w:val="000B33F5"/>
    <w:rsid w:val="000B498F"/>
    <w:rsid w:val="000B5387"/>
    <w:rsid w:val="000B6605"/>
    <w:rsid w:val="000B78D0"/>
    <w:rsid w:val="000C072C"/>
    <w:rsid w:val="000C0BB2"/>
    <w:rsid w:val="000C1331"/>
    <w:rsid w:val="000C1520"/>
    <w:rsid w:val="000C25CD"/>
    <w:rsid w:val="000C2EDB"/>
    <w:rsid w:val="000C7175"/>
    <w:rsid w:val="000C7D84"/>
    <w:rsid w:val="000C7EB5"/>
    <w:rsid w:val="000D16A2"/>
    <w:rsid w:val="000D2799"/>
    <w:rsid w:val="000D2ADA"/>
    <w:rsid w:val="000D3BC3"/>
    <w:rsid w:val="000D5EF9"/>
    <w:rsid w:val="000D6B6C"/>
    <w:rsid w:val="000E01CE"/>
    <w:rsid w:val="000E0EC9"/>
    <w:rsid w:val="000E34A6"/>
    <w:rsid w:val="000E3CAE"/>
    <w:rsid w:val="000E3D8A"/>
    <w:rsid w:val="000E44AF"/>
    <w:rsid w:val="000E5D40"/>
    <w:rsid w:val="000E68A2"/>
    <w:rsid w:val="000F0A59"/>
    <w:rsid w:val="000F1917"/>
    <w:rsid w:val="000F2C33"/>
    <w:rsid w:val="000F2E26"/>
    <w:rsid w:val="000F2E84"/>
    <w:rsid w:val="000F36C8"/>
    <w:rsid w:val="000F3BA8"/>
    <w:rsid w:val="000F4594"/>
    <w:rsid w:val="000F4AC9"/>
    <w:rsid w:val="000F6F43"/>
    <w:rsid w:val="00101DBB"/>
    <w:rsid w:val="00103A2A"/>
    <w:rsid w:val="001053E0"/>
    <w:rsid w:val="001055D4"/>
    <w:rsid w:val="001060A9"/>
    <w:rsid w:val="0010623A"/>
    <w:rsid w:val="0011071E"/>
    <w:rsid w:val="0011077D"/>
    <w:rsid w:val="00110E27"/>
    <w:rsid w:val="0011295B"/>
    <w:rsid w:val="0011496E"/>
    <w:rsid w:val="00116C6F"/>
    <w:rsid w:val="00117DE3"/>
    <w:rsid w:val="001221C3"/>
    <w:rsid w:val="00122559"/>
    <w:rsid w:val="0012277E"/>
    <w:rsid w:val="0012303B"/>
    <w:rsid w:val="00126DEB"/>
    <w:rsid w:val="0012716B"/>
    <w:rsid w:val="00127680"/>
    <w:rsid w:val="00131AA9"/>
    <w:rsid w:val="00131FF1"/>
    <w:rsid w:val="00133DAF"/>
    <w:rsid w:val="0013540B"/>
    <w:rsid w:val="00135F1C"/>
    <w:rsid w:val="001409BA"/>
    <w:rsid w:val="0014101E"/>
    <w:rsid w:val="00141235"/>
    <w:rsid w:val="00141552"/>
    <w:rsid w:val="00142B2D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3682"/>
    <w:rsid w:val="0016520D"/>
    <w:rsid w:val="0016543A"/>
    <w:rsid w:val="00165A88"/>
    <w:rsid w:val="00166FC3"/>
    <w:rsid w:val="0016769F"/>
    <w:rsid w:val="00170FB1"/>
    <w:rsid w:val="00171160"/>
    <w:rsid w:val="00173076"/>
    <w:rsid w:val="00173293"/>
    <w:rsid w:val="00176D10"/>
    <w:rsid w:val="00177191"/>
    <w:rsid w:val="001773F1"/>
    <w:rsid w:val="00180754"/>
    <w:rsid w:val="00181E99"/>
    <w:rsid w:val="001846F4"/>
    <w:rsid w:val="00184B45"/>
    <w:rsid w:val="001857F8"/>
    <w:rsid w:val="00190678"/>
    <w:rsid w:val="001941DE"/>
    <w:rsid w:val="0019491C"/>
    <w:rsid w:val="00195C13"/>
    <w:rsid w:val="00195E96"/>
    <w:rsid w:val="0019604E"/>
    <w:rsid w:val="001966D3"/>
    <w:rsid w:val="001976C5"/>
    <w:rsid w:val="001A032F"/>
    <w:rsid w:val="001A054A"/>
    <w:rsid w:val="001A13AA"/>
    <w:rsid w:val="001A20AE"/>
    <w:rsid w:val="001A5A47"/>
    <w:rsid w:val="001A6F41"/>
    <w:rsid w:val="001B21EF"/>
    <w:rsid w:val="001B237E"/>
    <w:rsid w:val="001B2405"/>
    <w:rsid w:val="001B248C"/>
    <w:rsid w:val="001B266B"/>
    <w:rsid w:val="001B690D"/>
    <w:rsid w:val="001B7656"/>
    <w:rsid w:val="001C05AF"/>
    <w:rsid w:val="001C1290"/>
    <w:rsid w:val="001C3618"/>
    <w:rsid w:val="001C3A00"/>
    <w:rsid w:val="001C5991"/>
    <w:rsid w:val="001C5A81"/>
    <w:rsid w:val="001C78F9"/>
    <w:rsid w:val="001D077A"/>
    <w:rsid w:val="001D22E7"/>
    <w:rsid w:val="001D4FF6"/>
    <w:rsid w:val="001E004E"/>
    <w:rsid w:val="001E165A"/>
    <w:rsid w:val="001E1D82"/>
    <w:rsid w:val="001E31C6"/>
    <w:rsid w:val="001E3357"/>
    <w:rsid w:val="001E4006"/>
    <w:rsid w:val="001E52B3"/>
    <w:rsid w:val="001E5395"/>
    <w:rsid w:val="001E5D48"/>
    <w:rsid w:val="001E6861"/>
    <w:rsid w:val="001F2385"/>
    <w:rsid w:val="001F2B27"/>
    <w:rsid w:val="001F502C"/>
    <w:rsid w:val="001F6363"/>
    <w:rsid w:val="001F6C27"/>
    <w:rsid w:val="00201449"/>
    <w:rsid w:val="002021CB"/>
    <w:rsid w:val="00202FF7"/>
    <w:rsid w:val="0020332C"/>
    <w:rsid w:val="00204586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17B1D"/>
    <w:rsid w:val="00220CC9"/>
    <w:rsid w:val="00221361"/>
    <w:rsid w:val="00224540"/>
    <w:rsid w:val="00224643"/>
    <w:rsid w:val="00225443"/>
    <w:rsid w:val="0023021E"/>
    <w:rsid w:val="00230B0E"/>
    <w:rsid w:val="0023191D"/>
    <w:rsid w:val="0023365E"/>
    <w:rsid w:val="00233F8B"/>
    <w:rsid w:val="00235853"/>
    <w:rsid w:val="0023587B"/>
    <w:rsid w:val="0023677D"/>
    <w:rsid w:val="0023681D"/>
    <w:rsid w:val="00237025"/>
    <w:rsid w:val="002378F8"/>
    <w:rsid w:val="00241757"/>
    <w:rsid w:val="00241E70"/>
    <w:rsid w:val="00242AEC"/>
    <w:rsid w:val="002513CA"/>
    <w:rsid w:val="0025262C"/>
    <w:rsid w:val="0025453E"/>
    <w:rsid w:val="00254DDE"/>
    <w:rsid w:val="0025540E"/>
    <w:rsid w:val="00260699"/>
    <w:rsid w:val="00260FE3"/>
    <w:rsid w:val="002614D5"/>
    <w:rsid w:val="0026350F"/>
    <w:rsid w:val="00263D86"/>
    <w:rsid w:val="002650A2"/>
    <w:rsid w:val="00265140"/>
    <w:rsid w:val="00265248"/>
    <w:rsid w:val="0026593F"/>
    <w:rsid w:val="00265BCF"/>
    <w:rsid w:val="00267CBD"/>
    <w:rsid w:val="00270274"/>
    <w:rsid w:val="00270B87"/>
    <w:rsid w:val="0027105A"/>
    <w:rsid w:val="002717A2"/>
    <w:rsid w:val="002740C6"/>
    <w:rsid w:val="00274F63"/>
    <w:rsid w:val="00275BEE"/>
    <w:rsid w:val="00276A76"/>
    <w:rsid w:val="0027774F"/>
    <w:rsid w:val="00280938"/>
    <w:rsid w:val="00281DB4"/>
    <w:rsid w:val="002826C2"/>
    <w:rsid w:val="00282DB2"/>
    <w:rsid w:val="0028332D"/>
    <w:rsid w:val="00283DA2"/>
    <w:rsid w:val="002865F3"/>
    <w:rsid w:val="0028780A"/>
    <w:rsid w:val="00287F0E"/>
    <w:rsid w:val="0029112B"/>
    <w:rsid w:val="002912B9"/>
    <w:rsid w:val="002932D0"/>
    <w:rsid w:val="00293B98"/>
    <w:rsid w:val="00294924"/>
    <w:rsid w:val="0029587C"/>
    <w:rsid w:val="0029608C"/>
    <w:rsid w:val="00296140"/>
    <w:rsid w:val="002974EF"/>
    <w:rsid w:val="00297F08"/>
    <w:rsid w:val="002A0269"/>
    <w:rsid w:val="002A15BB"/>
    <w:rsid w:val="002A1B9E"/>
    <w:rsid w:val="002A1F8D"/>
    <w:rsid w:val="002A2070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3D64"/>
    <w:rsid w:val="002B5091"/>
    <w:rsid w:val="002B5E35"/>
    <w:rsid w:val="002B76E8"/>
    <w:rsid w:val="002C0932"/>
    <w:rsid w:val="002C13FE"/>
    <w:rsid w:val="002C2562"/>
    <w:rsid w:val="002C3038"/>
    <w:rsid w:val="002C4196"/>
    <w:rsid w:val="002C58DF"/>
    <w:rsid w:val="002C7016"/>
    <w:rsid w:val="002C737C"/>
    <w:rsid w:val="002C7E51"/>
    <w:rsid w:val="002D299B"/>
    <w:rsid w:val="002D40D9"/>
    <w:rsid w:val="002D6403"/>
    <w:rsid w:val="002D7510"/>
    <w:rsid w:val="002D7574"/>
    <w:rsid w:val="002D7BF9"/>
    <w:rsid w:val="002E00F7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E40"/>
    <w:rsid w:val="002F5150"/>
    <w:rsid w:val="002F61B1"/>
    <w:rsid w:val="002F6994"/>
    <w:rsid w:val="002F6D66"/>
    <w:rsid w:val="00303AF4"/>
    <w:rsid w:val="00304634"/>
    <w:rsid w:val="00306CE1"/>
    <w:rsid w:val="00306E5A"/>
    <w:rsid w:val="00310264"/>
    <w:rsid w:val="00310BAB"/>
    <w:rsid w:val="00310DA9"/>
    <w:rsid w:val="003130FC"/>
    <w:rsid w:val="0031332E"/>
    <w:rsid w:val="0031488F"/>
    <w:rsid w:val="0031551C"/>
    <w:rsid w:val="003175C6"/>
    <w:rsid w:val="00317BB9"/>
    <w:rsid w:val="003204E9"/>
    <w:rsid w:val="00322E2D"/>
    <w:rsid w:val="003232FC"/>
    <w:rsid w:val="0032396F"/>
    <w:rsid w:val="003265BC"/>
    <w:rsid w:val="00326A7B"/>
    <w:rsid w:val="00330577"/>
    <w:rsid w:val="00330744"/>
    <w:rsid w:val="0033244E"/>
    <w:rsid w:val="0033296B"/>
    <w:rsid w:val="00332BAE"/>
    <w:rsid w:val="003332A7"/>
    <w:rsid w:val="00333FB4"/>
    <w:rsid w:val="00335F4C"/>
    <w:rsid w:val="00340AE6"/>
    <w:rsid w:val="0034180F"/>
    <w:rsid w:val="00341F34"/>
    <w:rsid w:val="00342F65"/>
    <w:rsid w:val="0034326C"/>
    <w:rsid w:val="0034372F"/>
    <w:rsid w:val="00343F5E"/>
    <w:rsid w:val="003505CB"/>
    <w:rsid w:val="00350A2F"/>
    <w:rsid w:val="00350F1E"/>
    <w:rsid w:val="00351C6A"/>
    <w:rsid w:val="00353791"/>
    <w:rsid w:val="003540F4"/>
    <w:rsid w:val="003554C7"/>
    <w:rsid w:val="00356E7F"/>
    <w:rsid w:val="00362054"/>
    <w:rsid w:val="00362947"/>
    <w:rsid w:val="0036369F"/>
    <w:rsid w:val="0036566B"/>
    <w:rsid w:val="00367047"/>
    <w:rsid w:val="0037025D"/>
    <w:rsid w:val="003711AE"/>
    <w:rsid w:val="00373A3B"/>
    <w:rsid w:val="0037543E"/>
    <w:rsid w:val="00375BD5"/>
    <w:rsid w:val="003774DA"/>
    <w:rsid w:val="0038049B"/>
    <w:rsid w:val="00380C79"/>
    <w:rsid w:val="0038156C"/>
    <w:rsid w:val="00381649"/>
    <w:rsid w:val="00381E5A"/>
    <w:rsid w:val="00382B86"/>
    <w:rsid w:val="003861E5"/>
    <w:rsid w:val="0038754B"/>
    <w:rsid w:val="003915CA"/>
    <w:rsid w:val="00392C51"/>
    <w:rsid w:val="00393A72"/>
    <w:rsid w:val="0039483E"/>
    <w:rsid w:val="00395B87"/>
    <w:rsid w:val="00395C5D"/>
    <w:rsid w:val="00396ACF"/>
    <w:rsid w:val="003A190C"/>
    <w:rsid w:val="003A27F9"/>
    <w:rsid w:val="003A472C"/>
    <w:rsid w:val="003A57BD"/>
    <w:rsid w:val="003A6A52"/>
    <w:rsid w:val="003A731E"/>
    <w:rsid w:val="003A7F71"/>
    <w:rsid w:val="003B15DC"/>
    <w:rsid w:val="003B2B4D"/>
    <w:rsid w:val="003B5821"/>
    <w:rsid w:val="003B6200"/>
    <w:rsid w:val="003B7625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6C79"/>
    <w:rsid w:val="003C7098"/>
    <w:rsid w:val="003D1125"/>
    <w:rsid w:val="003D5D9E"/>
    <w:rsid w:val="003D6117"/>
    <w:rsid w:val="003D64A4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EEF"/>
    <w:rsid w:val="003F3599"/>
    <w:rsid w:val="003F4D16"/>
    <w:rsid w:val="003F61EA"/>
    <w:rsid w:val="003F64F9"/>
    <w:rsid w:val="003F6C01"/>
    <w:rsid w:val="0040247D"/>
    <w:rsid w:val="00402DCB"/>
    <w:rsid w:val="004037E4"/>
    <w:rsid w:val="00403EA0"/>
    <w:rsid w:val="00403F17"/>
    <w:rsid w:val="004040E7"/>
    <w:rsid w:val="0040630E"/>
    <w:rsid w:val="00406FBA"/>
    <w:rsid w:val="00414415"/>
    <w:rsid w:val="004163D9"/>
    <w:rsid w:val="00416DCA"/>
    <w:rsid w:val="0041727A"/>
    <w:rsid w:val="00420498"/>
    <w:rsid w:val="004206C3"/>
    <w:rsid w:val="00421681"/>
    <w:rsid w:val="004226D2"/>
    <w:rsid w:val="00424033"/>
    <w:rsid w:val="00424273"/>
    <w:rsid w:val="0042434A"/>
    <w:rsid w:val="0042494B"/>
    <w:rsid w:val="00425106"/>
    <w:rsid w:val="004251F1"/>
    <w:rsid w:val="004260D1"/>
    <w:rsid w:val="00426CC3"/>
    <w:rsid w:val="004309F4"/>
    <w:rsid w:val="00431F60"/>
    <w:rsid w:val="00432572"/>
    <w:rsid w:val="00432D75"/>
    <w:rsid w:val="00434904"/>
    <w:rsid w:val="00435F47"/>
    <w:rsid w:val="00436277"/>
    <w:rsid w:val="004373F6"/>
    <w:rsid w:val="00440BB5"/>
    <w:rsid w:val="004424F0"/>
    <w:rsid w:val="00442551"/>
    <w:rsid w:val="00445D85"/>
    <w:rsid w:val="00446315"/>
    <w:rsid w:val="00446ED6"/>
    <w:rsid w:val="0044798C"/>
    <w:rsid w:val="00450496"/>
    <w:rsid w:val="00450B55"/>
    <w:rsid w:val="0045172D"/>
    <w:rsid w:val="00452AD4"/>
    <w:rsid w:val="00453EFD"/>
    <w:rsid w:val="00454A21"/>
    <w:rsid w:val="00454EE1"/>
    <w:rsid w:val="00455B5C"/>
    <w:rsid w:val="00455DB0"/>
    <w:rsid w:val="00455E5A"/>
    <w:rsid w:val="00456F90"/>
    <w:rsid w:val="00460DEE"/>
    <w:rsid w:val="0046376C"/>
    <w:rsid w:val="00465EF7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704"/>
    <w:rsid w:val="00482586"/>
    <w:rsid w:val="00482BC5"/>
    <w:rsid w:val="0048454B"/>
    <w:rsid w:val="00484F5B"/>
    <w:rsid w:val="00485464"/>
    <w:rsid w:val="00485823"/>
    <w:rsid w:val="0048589A"/>
    <w:rsid w:val="00485AC8"/>
    <w:rsid w:val="00485B62"/>
    <w:rsid w:val="004867CD"/>
    <w:rsid w:val="004869A5"/>
    <w:rsid w:val="00491A73"/>
    <w:rsid w:val="00492D61"/>
    <w:rsid w:val="00493109"/>
    <w:rsid w:val="00493F7A"/>
    <w:rsid w:val="004946A5"/>
    <w:rsid w:val="0049540C"/>
    <w:rsid w:val="004969B1"/>
    <w:rsid w:val="00497FBB"/>
    <w:rsid w:val="004A05EC"/>
    <w:rsid w:val="004A0A0E"/>
    <w:rsid w:val="004A2A26"/>
    <w:rsid w:val="004A2D8E"/>
    <w:rsid w:val="004A2DD3"/>
    <w:rsid w:val="004A2FCE"/>
    <w:rsid w:val="004A41F9"/>
    <w:rsid w:val="004A4B4F"/>
    <w:rsid w:val="004A5616"/>
    <w:rsid w:val="004A5AA2"/>
    <w:rsid w:val="004B0A55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0199"/>
    <w:rsid w:val="004D2E13"/>
    <w:rsid w:val="004D337F"/>
    <w:rsid w:val="004D3591"/>
    <w:rsid w:val="004D3610"/>
    <w:rsid w:val="004D4816"/>
    <w:rsid w:val="004D49BE"/>
    <w:rsid w:val="004D4BD6"/>
    <w:rsid w:val="004D625A"/>
    <w:rsid w:val="004D78DD"/>
    <w:rsid w:val="004E05AC"/>
    <w:rsid w:val="004E0845"/>
    <w:rsid w:val="004E239F"/>
    <w:rsid w:val="004E2786"/>
    <w:rsid w:val="004E2B14"/>
    <w:rsid w:val="004E64E4"/>
    <w:rsid w:val="004E787C"/>
    <w:rsid w:val="004E7DFF"/>
    <w:rsid w:val="004F1210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E29"/>
    <w:rsid w:val="00506C90"/>
    <w:rsid w:val="005105F6"/>
    <w:rsid w:val="0051103A"/>
    <w:rsid w:val="00511F32"/>
    <w:rsid w:val="005122F1"/>
    <w:rsid w:val="00513F60"/>
    <w:rsid w:val="00514CB8"/>
    <w:rsid w:val="00514E91"/>
    <w:rsid w:val="00514FFF"/>
    <w:rsid w:val="00515E9B"/>
    <w:rsid w:val="005167F9"/>
    <w:rsid w:val="00522568"/>
    <w:rsid w:val="00522589"/>
    <w:rsid w:val="00523A39"/>
    <w:rsid w:val="005245C7"/>
    <w:rsid w:val="00524FA3"/>
    <w:rsid w:val="005262D9"/>
    <w:rsid w:val="00527020"/>
    <w:rsid w:val="005274E7"/>
    <w:rsid w:val="0053066D"/>
    <w:rsid w:val="005308B8"/>
    <w:rsid w:val="00530A49"/>
    <w:rsid w:val="00531102"/>
    <w:rsid w:val="0053133D"/>
    <w:rsid w:val="00531BCF"/>
    <w:rsid w:val="0053269B"/>
    <w:rsid w:val="0053361E"/>
    <w:rsid w:val="0053391F"/>
    <w:rsid w:val="00533BC4"/>
    <w:rsid w:val="00534F4C"/>
    <w:rsid w:val="00534FA2"/>
    <w:rsid w:val="00535203"/>
    <w:rsid w:val="00537DA2"/>
    <w:rsid w:val="00537E37"/>
    <w:rsid w:val="005408A6"/>
    <w:rsid w:val="005411DE"/>
    <w:rsid w:val="005423D3"/>
    <w:rsid w:val="00542630"/>
    <w:rsid w:val="00542944"/>
    <w:rsid w:val="00543E1A"/>
    <w:rsid w:val="0054446A"/>
    <w:rsid w:val="00552D9B"/>
    <w:rsid w:val="00552E15"/>
    <w:rsid w:val="005532D5"/>
    <w:rsid w:val="0056002F"/>
    <w:rsid w:val="005628FB"/>
    <w:rsid w:val="005636E0"/>
    <w:rsid w:val="00564768"/>
    <w:rsid w:val="00567A17"/>
    <w:rsid w:val="00570181"/>
    <w:rsid w:val="005742E7"/>
    <w:rsid w:val="00575749"/>
    <w:rsid w:val="005771AE"/>
    <w:rsid w:val="00580AEB"/>
    <w:rsid w:val="005852FC"/>
    <w:rsid w:val="0058550C"/>
    <w:rsid w:val="00586135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0E5"/>
    <w:rsid w:val="005971FE"/>
    <w:rsid w:val="005972CC"/>
    <w:rsid w:val="00597AAA"/>
    <w:rsid w:val="005A02C9"/>
    <w:rsid w:val="005A36E8"/>
    <w:rsid w:val="005A3839"/>
    <w:rsid w:val="005A48E5"/>
    <w:rsid w:val="005A50D1"/>
    <w:rsid w:val="005A75A4"/>
    <w:rsid w:val="005B160B"/>
    <w:rsid w:val="005B1F93"/>
    <w:rsid w:val="005B24E6"/>
    <w:rsid w:val="005B2DFA"/>
    <w:rsid w:val="005B3EEE"/>
    <w:rsid w:val="005B4942"/>
    <w:rsid w:val="005B6628"/>
    <w:rsid w:val="005C0849"/>
    <w:rsid w:val="005C0993"/>
    <w:rsid w:val="005C1F7A"/>
    <w:rsid w:val="005C309C"/>
    <w:rsid w:val="005C31D2"/>
    <w:rsid w:val="005C333D"/>
    <w:rsid w:val="005C3639"/>
    <w:rsid w:val="005C3A0A"/>
    <w:rsid w:val="005C43C5"/>
    <w:rsid w:val="005C484B"/>
    <w:rsid w:val="005C4892"/>
    <w:rsid w:val="005C4B8C"/>
    <w:rsid w:val="005C56B0"/>
    <w:rsid w:val="005C6FD0"/>
    <w:rsid w:val="005C702E"/>
    <w:rsid w:val="005C7943"/>
    <w:rsid w:val="005D08F1"/>
    <w:rsid w:val="005D0DAB"/>
    <w:rsid w:val="005D0F8E"/>
    <w:rsid w:val="005D1BE6"/>
    <w:rsid w:val="005D234E"/>
    <w:rsid w:val="005D288A"/>
    <w:rsid w:val="005D2C18"/>
    <w:rsid w:val="005D3E64"/>
    <w:rsid w:val="005D6146"/>
    <w:rsid w:val="005D6174"/>
    <w:rsid w:val="005E0AD2"/>
    <w:rsid w:val="005E1C1F"/>
    <w:rsid w:val="005E1DDA"/>
    <w:rsid w:val="005E1E19"/>
    <w:rsid w:val="005E242B"/>
    <w:rsid w:val="005E2657"/>
    <w:rsid w:val="005E2A36"/>
    <w:rsid w:val="005E564F"/>
    <w:rsid w:val="005E60D3"/>
    <w:rsid w:val="005E66F8"/>
    <w:rsid w:val="005E7451"/>
    <w:rsid w:val="005E7B6C"/>
    <w:rsid w:val="005F0258"/>
    <w:rsid w:val="005F299B"/>
    <w:rsid w:val="005F3DF5"/>
    <w:rsid w:val="005F491B"/>
    <w:rsid w:val="005F5A57"/>
    <w:rsid w:val="005F7802"/>
    <w:rsid w:val="00602551"/>
    <w:rsid w:val="00605C06"/>
    <w:rsid w:val="00606BBE"/>
    <w:rsid w:val="00606C18"/>
    <w:rsid w:val="0060717E"/>
    <w:rsid w:val="006072A9"/>
    <w:rsid w:val="00607BCE"/>
    <w:rsid w:val="00610507"/>
    <w:rsid w:val="00610ABB"/>
    <w:rsid w:val="0061159C"/>
    <w:rsid w:val="00611AE2"/>
    <w:rsid w:val="00612F0A"/>
    <w:rsid w:val="0061561F"/>
    <w:rsid w:val="00615F65"/>
    <w:rsid w:val="006160B2"/>
    <w:rsid w:val="006200EC"/>
    <w:rsid w:val="00620DFA"/>
    <w:rsid w:val="00621C1E"/>
    <w:rsid w:val="00622EDB"/>
    <w:rsid w:val="00623916"/>
    <w:rsid w:val="0062446F"/>
    <w:rsid w:val="006275BA"/>
    <w:rsid w:val="00630495"/>
    <w:rsid w:val="0063089A"/>
    <w:rsid w:val="00631836"/>
    <w:rsid w:val="006332E4"/>
    <w:rsid w:val="006338D9"/>
    <w:rsid w:val="00633978"/>
    <w:rsid w:val="00635C9B"/>
    <w:rsid w:val="00635D68"/>
    <w:rsid w:val="00636656"/>
    <w:rsid w:val="00636DE2"/>
    <w:rsid w:val="00644A25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6BF2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763AD"/>
    <w:rsid w:val="00681843"/>
    <w:rsid w:val="0068280E"/>
    <w:rsid w:val="00683543"/>
    <w:rsid w:val="00684D4E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CF7"/>
    <w:rsid w:val="006A3D0A"/>
    <w:rsid w:val="006A4C7F"/>
    <w:rsid w:val="006A5BC2"/>
    <w:rsid w:val="006A6098"/>
    <w:rsid w:val="006A60FC"/>
    <w:rsid w:val="006A6DF4"/>
    <w:rsid w:val="006A7011"/>
    <w:rsid w:val="006A7689"/>
    <w:rsid w:val="006B21AD"/>
    <w:rsid w:val="006B2885"/>
    <w:rsid w:val="006B773B"/>
    <w:rsid w:val="006B794F"/>
    <w:rsid w:val="006C0240"/>
    <w:rsid w:val="006C0924"/>
    <w:rsid w:val="006C0D7B"/>
    <w:rsid w:val="006C142A"/>
    <w:rsid w:val="006C169A"/>
    <w:rsid w:val="006C2598"/>
    <w:rsid w:val="006C33CB"/>
    <w:rsid w:val="006C40B6"/>
    <w:rsid w:val="006C47A6"/>
    <w:rsid w:val="006C4FC2"/>
    <w:rsid w:val="006C6A14"/>
    <w:rsid w:val="006C6BA5"/>
    <w:rsid w:val="006C7EA4"/>
    <w:rsid w:val="006D0B4B"/>
    <w:rsid w:val="006D0D35"/>
    <w:rsid w:val="006D1A03"/>
    <w:rsid w:val="006D3766"/>
    <w:rsid w:val="006D60EE"/>
    <w:rsid w:val="006D7B81"/>
    <w:rsid w:val="006D7E94"/>
    <w:rsid w:val="006E04E9"/>
    <w:rsid w:val="006E055B"/>
    <w:rsid w:val="006E08F5"/>
    <w:rsid w:val="006E09A6"/>
    <w:rsid w:val="006E0B81"/>
    <w:rsid w:val="006E1380"/>
    <w:rsid w:val="006E35A6"/>
    <w:rsid w:val="006E5E52"/>
    <w:rsid w:val="006E771E"/>
    <w:rsid w:val="006F0648"/>
    <w:rsid w:val="006F09F8"/>
    <w:rsid w:val="006F17EC"/>
    <w:rsid w:val="006F3863"/>
    <w:rsid w:val="006F3BC5"/>
    <w:rsid w:val="006F5B98"/>
    <w:rsid w:val="006F6077"/>
    <w:rsid w:val="006F65F2"/>
    <w:rsid w:val="006F76FD"/>
    <w:rsid w:val="007023BE"/>
    <w:rsid w:val="007047D4"/>
    <w:rsid w:val="007104CE"/>
    <w:rsid w:val="00712350"/>
    <w:rsid w:val="00712DCC"/>
    <w:rsid w:val="00716DFC"/>
    <w:rsid w:val="00720432"/>
    <w:rsid w:val="007211D5"/>
    <w:rsid w:val="00722137"/>
    <w:rsid w:val="0072258F"/>
    <w:rsid w:val="00722667"/>
    <w:rsid w:val="007241D6"/>
    <w:rsid w:val="0072553C"/>
    <w:rsid w:val="00726730"/>
    <w:rsid w:val="0072783C"/>
    <w:rsid w:val="007309E8"/>
    <w:rsid w:val="00731211"/>
    <w:rsid w:val="00733CB2"/>
    <w:rsid w:val="0073561A"/>
    <w:rsid w:val="00736A4B"/>
    <w:rsid w:val="00736D1D"/>
    <w:rsid w:val="00736E40"/>
    <w:rsid w:val="00736F87"/>
    <w:rsid w:val="007371FA"/>
    <w:rsid w:val="00737A61"/>
    <w:rsid w:val="00737C1F"/>
    <w:rsid w:val="0074141F"/>
    <w:rsid w:val="00741C6A"/>
    <w:rsid w:val="00742584"/>
    <w:rsid w:val="00742B4A"/>
    <w:rsid w:val="007433F7"/>
    <w:rsid w:val="00745193"/>
    <w:rsid w:val="00745A9A"/>
    <w:rsid w:val="00745B09"/>
    <w:rsid w:val="007461F9"/>
    <w:rsid w:val="00746C6A"/>
    <w:rsid w:val="00747F3A"/>
    <w:rsid w:val="0075104F"/>
    <w:rsid w:val="00751680"/>
    <w:rsid w:val="00752D01"/>
    <w:rsid w:val="00752DC3"/>
    <w:rsid w:val="0075411F"/>
    <w:rsid w:val="00757BB7"/>
    <w:rsid w:val="00760756"/>
    <w:rsid w:val="00761845"/>
    <w:rsid w:val="007618B8"/>
    <w:rsid w:val="00764FEA"/>
    <w:rsid w:val="007655DA"/>
    <w:rsid w:val="00766223"/>
    <w:rsid w:val="007665A3"/>
    <w:rsid w:val="007666F9"/>
    <w:rsid w:val="00766FBD"/>
    <w:rsid w:val="007700C9"/>
    <w:rsid w:val="00770564"/>
    <w:rsid w:val="00770FA3"/>
    <w:rsid w:val="007730FF"/>
    <w:rsid w:val="00773138"/>
    <w:rsid w:val="007741F8"/>
    <w:rsid w:val="007755BD"/>
    <w:rsid w:val="0077635E"/>
    <w:rsid w:val="0077684B"/>
    <w:rsid w:val="007806F2"/>
    <w:rsid w:val="0078095C"/>
    <w:rsid w:val="007825E7"/>
    <w:rsid w:val="007825F0"/>
    <w:rsid w:val="00782926"/>
    <w:rsid w:val="007848A5"/>
    <w:rsid w:val="00785309"/>
    <w:rsid w:val="007856F1"/>
    <w:rsid w:val="007869F8"/>
    <w:rsid w:val="00786B91"/>
    <w:rsid w:val="00786F29"/>
    <w:rsid w:val="007914EA"/>
    <w:rsid w:val="00791A69"/>
    <w:rsid w:val="0079291C"/>
    <w:rsid w:val="00793258"/>
    <w:rsid w:val="00794132"/>
    <w:rsid w:val="007944E4"/>
    <w:rsid w:val="00794D93"/>
    <w:rsid w:val="00795DCB"/>
    <w:rsid w:val="0079692A"/>
    <w:rsid w:val="00797574"/>
    <w:rsid w:val="007977C5"/>
    <w:rsid w:val="007A0333"/>
    <w:rsid w:val="007A0452"/>
    <w:rsid w:val="007A08EC"/>
    <w:rsid w:val="007A1F31"/>
    <w:rsid w:val="007A4595"/>
    <w:rsid w:val="007A6417"/>
    <w:rsid w:val="007A6CB5"/>
    <w:rsid w:val="007A6F26"/>
    <w:rsid w:val="007A741F"/>
    <w:rsid w:val="007B29CF"/>
    <w:rsid w:val="007B2DD3"/>
    <w:rsid w:val="007B41A3"/>
    <w:rsid w:val="007B5482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085C"/>
    <w:rsid w:val="007D458E"/>
    <w:rsid w:val="007D4C78"/>
    <w:rsid w:val="007D6408"/>
    <w:rsid w:val="007D6C6D"/>
    <w:rsid w:val="007E0E19"/>
    <w:rsid w:val="007E1689"/>
    <w:rsid w:val="007E216B"/>
    <w:rsid w:val="007E29C3"/>
    <w:rsid w:val="007E4250"/>
    <w:rsid w:val="007E436D"/>
    <w:rsid w:val="007E7C96"/>
    <w:rsid w:val="007F1C29"/>
    <w:rsid w:val="007F1E2F"/>
    <w:rsid w:val="007F2813"/>
    <w:rsid w:val="007F2EFD"/>
    <w:rsid w:val="007F37F7"/>
    <w:rsid w:val="007F5295"/>
    <w:rsid w:val="007F7647"/>
    <w:rsid w:val="00800B6C"/>
    <w:rsid w:val="00801AB4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20BC6"/>
    <w:rsid w:val="00821BE5"/>
    <w:rsid w:val="008233C6"/>
    <w:rsid w:val="0082365E"/>
    <w:rsid w:val="00823FB2"/>
    <w:rsid w:val="00824AD4"/>
    <w:rsid w:val="008260AB"/>
    <w:rsid w:val="00831298"/>
    <w:rsid w:val="008320CD"/>
    <w:rsid w:val="00832156"/>
    <w:rsid w:val="00833066"/>
    <w:rsid w:val="008340D7"/>
    <w:rsid w:val="00841D99"/>
    <w:rsid w:val="008424D6"/>
    <w:rsid w:val="0084398C"/>
    <w:rsid w:val="00845171"/>
    <w:rsid w:val="008464A0"/>
    <w:rsid w:val="00846C9C"/>
    <w:rsid w:val="00847F4F"/>
    <w:rsid w:val="00850F35"/>
    <w:rsid w:val="008515A4"/>
    <w:rsid w:val="00853608"/>
    <w:rsid w:val="008539AE"/>
    <w:rsid w:val="00853CEB"/>
    <w:rsid w:val="00853EB8"/>
    <w:rsid w:val="008554B5"/>
    <w:rsid w:val="00855E5F"/>
    <w:rsid w:val="00861D0D"/>
    <w:rsid w:val="0086294E"/>
    <w:rsid w:val="00862F09"/>
    <w:rsid w:val="008632DB"/>
    <w:rsid w:val="00866758"/>
    <w:rsid w:val="00866B9A"/>
    <w:rsid w:val="00872AEC"/>
    <w:rsid w:val="008747FE"/>
    <w:rsid w:val="00874F18"/>
    <w:rsid w:val="00875A43"/>
    <w:rsid w:val="008771F6"/>
    <w:rsid w:val="00877A44"/>
    <w:rsid w:val="00880EFA"/>
    <w:rsid w:val="00883874"/>
    <w:rsid w:val="008839A0"/>
    <w:rsid w:val="008847EC"/>
    <w:rsid w:val="008849D1"/>
    <w:rsid w:val="008862AD"/>
    <w:rsid w:val="008863D7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255F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40AF"/>
    <w:rsid w:val="008B4721"/>
    <w:rsid w:val="008B4E76"/>
    <w:rsid w:val="008B6658"/>
    <w:rsid w:val="008B6D16"/>
    <w:rsid w:val="008B722E"/>
    <w:rsid w:val="008B7D2C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E40"/>
    <w:rsid w:val="008D4572"/>
    <w:rsid w:val="008D4DEE"/>
    <w:rsid w:val="008D65B9"/>
    <w:rsid w:val="008D6B15"/>
    <w:rsid w:val="008E1571"/>
    <w:rsid w:val="008E3913"/>
    <w:rsid w:val="008E5BBA"/>
    <w:rsid w:val="008F0564"/>
    <w:rsid w:val="008F17C9"/>
    <w:rsid w:val="008F3BB9"/>
    <w:rsid w:val="008F4195"/>
    <w:rsid w:val="008F52F7"/>
    <w:rsid w:val="008F625F"/>
    <w:rsid w:val="00902C0C"/>
    <w:rsid w:val="009035C9"/>
    <w:rsid w:val="009053B1"/>
    <w:rsid w:val="00905C4D"/>
    <w:rsid w:val="00907D77"/>
    <w:rsid w:val="00910087"/>
    <w:rsid w:val="00911ABF"/>
    <w:rsid w:val="0091231C"/>
    <w:rsid w:val="0091358B"/>
    <w:rsid w:val="00914844"/>
    <w:rsid w:val="00916E0C"/>
    <w:rsid w:val="00921B7F"/>
    <w:rsid w:val="009228DB"/>
    <w:rsid w:val="00923DED"/>
    <w:rsid w:val="00923E32"/>
    <w:rsid w:val="009260EA"/>
    <w:rsid w:val="00930F76"/>
    <w:rsid w:val="00931097"/>
    <w:rsid w:val="00931F1F"/>
    <w:rsid w:val="0093253C"/>
    <w:rsid w:val="00933310"/>
    <w:rsid w:val="00935531"/>
    <w:rsid w:val="0093563C"/>
    <w:rsid w:val="009408C5"/>
    <w:rsid w:val="00941237"/>
    <w:rsid w:val="00942823"/>
    <w:rsid w:val="00942C4B"/>
    <w:rsid w:val="00942DA8"/>
    <w:rsid w:val="009459F3"/>
    <w:rsid w:val="009514C4"/>
    <w:rsid w:val="0095300C"/>
    <w:rsid w:val="0096125B"/>
    <w:rsid w:val="009628B5"/>
    <w:rsid w:val="00963EAE"/>
    <w:rsid w:val="0096489F"/>
    <w:rsid w:val="00964B5E"/>
    <w:rsid w:val="00965548"/>
    <w:rsid w:val="00965719"/>
    <w:rsid w:val="0097014F"/>
    <w:rsid w:val="00972BFB"/>
    <w:rsid w:val="00974B61"/>
    <w:rsid w:val="00975C03"/>
    <w:rsid w:val="0097638C"/>
    <w:rsid w:val="00980BEF"/>
    <w:rsid w:val="0098199B"/>
    <w:rsid w:val="0098604E"/>
    <w:rsid w:val="00986871"/>
    <w:rsid w:val="00991903"/>
    <w:rsid w:val="00992BF5"/>
    <w:rsid w:val="009934E7"/>
    <w:rsid w:val="00993607"/>
    <w:rsid w:val="00994B7A"/>
    <w:rsid w:val="009967D8"/>
    <w:rsid w:val="00996F0C"/>
    <w:rsid w:val="009A2596"/>
    <w:rsid w:val="009A3DE8"/>
    <w:rsid w:val="009A55FD"/>
    <w:rsid w:val="009A6C03"/>
    <w:rsid w:val="009A7CE1"/>
    <w:rsid w:val="009B15C1"/>
    <w:rsid w:val="009B19B3"/>
    <w:rsid w:val="009B2548"/>
    <w:rsid w:val="009B360F"/>
    <w:rsid w:val="009B3CEE"/>
    <w:rsid w:val="009B3F98"/>
    <w:rsid w:val="009B48E2"/>
    <w:rsid w:val="009B5272"/>
    <w:rsid w:val="009C2083"/>
    <w:rsid w:val="009C2F86"/>
    <w:rsid w:val="009C33DF"/>
    <w:rsid w:val="009C3E82"/>
    <w:rsid w:val="009C5635"/>
    <w:rsid w:val="009C7731"/>
    <w:rsid w:val="009D0121"/>
    <w:rsid w:val="009D2C7A"/>
    <w:rsid w:val="009D30C6"/>
    <w:rsid w:val="009E1648"/>
    <w:rsid w:val="009E272A"/>
    <w:rsid w:val="009E33E8"/>
    <w:rsid w:val="009E4D3D"/>
    <w:rsid w:val="009E74D9"/>
    <w:rsid w:val="009E7E6C"/>
    <w:rsid w:val="009F1AF3"/>
    <w:rsid w:val="009F1F61"/>
    <w:rsid w:val="009F238F"/>
    <w:rsid w:val="009F352C"/>
    <w:rsid w:val="009F58AE"/>
    <w:rsid w:val="009F617B"/>
    <w:rsid w:val="00A047A7"/>
    <w:rsid w:val="00A04D22"/>
    <w:rsid w:val="00A04DDC"/>
    <w:rsid w:val="00A103C8"/>
    <w:rsid w:val="00A109CE"/>
    <w:rsid w:val="00A12237"/>
    <w:rsid w:val="00A13CA9"/>
    <w:rsid w:val="00A13EFD"/>
    <w:rsid w:val="00A14278"/>
    <w:rsid w:val="00A15F19"/>
    <w:rsid w:val="00A1615C"/>
    <w:rsid w:val="00A16307"/>
    <w:rsid w:val="00A171EA"/>
    <w:rsid w:val="00A172AF"/>
    <w:rsid w:val="00A17CB0"/>
    <w:rsid w:val="00A205FD"/>
    <w:rsid w:val="00A21C3F"/>
    <w:rsid w:val="00A23AAF"/>
    <w:rsid w:val="00A23BA1"/>
    <w:rsid w:val="00A248D1"/>
    <w:rsid w:val="00A24FDC"/>
    <w:rsid w:val="00A26666"/>
    <w:rsid w:val="00A2694A"/>
    <w:rsid w:val="00A27435"/>
    <w:rsid w:val="00A276F0"/>
    <w:rsid w:val="00A3052C"/>
    <w:rsid w:val="00A315F9"/>
    <w:rsid w:val="00A33C86"/>
    <w:rsid w:val="00A3443B"/>
    <w:rsid w:val="00A35671"/>
    <w:rsid w:val="00A35F0A"/>
    <w:rsid w:val="00A36B2D"/>
    <w:rsid w:val="00A3734B"/>
    <w:rsid w:val="00A41427"/>
    <w:rsid w:val="00A42CA0"/>
    <w:rsid w:val="00A4347A"/>
    <w:rsid w:val="00A44393"/>
    <w:rsid w:val="00A4466F"/>
    <w:rsid w:val="00A45575"/>
    <w:rsid w:val="00A4622A"/>
    <w:rsid w:val="00A46E66"/>
    <w:rsid w:val="00A5050B"/>
    <w:rsid w:val="00A50C76"/>
    <w:rsid w:val="00A51189"/>
    <w:rsid w:val="00A570FA"/>
    <w:rsid w:val="00A57C63"/>
    <w:rsid w:val="00A609C4"/>
    <w:rsid w:val="00A61604"/>
    <w:rsid w:val="00A62024"/>
    <w:rsid w:val="00A624F3"/>
    <w:rsid w:val="00A629AC"/>
    <w:rsid w:val="00A63214"/>
    <w:rsid w:val="00A6337D"/>
    <w:rsid w:val="00A6540B"/>
    <w:rsid w:val="00A66CBD"/>
    <w:rsid w:val="00A677AF"/>
    <w:rsid w:val="00A67EB4"/>
    <w:rsid w:val="00A701C2"/>
    <w:rsid w:val="00A715FC"/>
    <w:rsid w:val="00A7200C"/>
    <w:rsid w:val="00A73013"/>
    <w:rsid w:val="00A74731"/>
    <w:rsid w:val="00A75A6F"/>
    <w:rsid w:val="00A75D85"/>
    <w:rsid w:val="00A76902"/>
    <w:rsid w:val="00A77163"/>
    <w:rsid w:val="00A80974"/>
    <w:rsid w:val="00A82BB7"/>
    <w:rsid w:val="00A83490"/>
    <w:rsid w:val="00A8437C"/>
    <w:rsid w:val="00A84865"/>
    <w:rsid w:val="00A84ADB"/>
    <w:rsid w:val="00A85160"/>
    <w:rsid w:val="00A85738"/>
    <w:rsid w:val="00A869FF"/>
    <w:rsid w:val="00A9042D"/>
    <w:rsid w:val="00A9182F"/>
    <w:rsid w:val="00A92BF6"/>
    <w:rsid w:val="00A93201"/>
    <w:rsid w:val="00A93D18"/>
    <w:rsid w:val="00A94A76"/>
    <w:rsid w:val="00A94F1C"/>
    <w:rsid w:val="00A95076"/>
    <w:rsid w:val="00A95DFD"/>
    <w:rsid w:val="00A9782C"/>
    <w:rsid w:val="00AA09DC"/>
    <w:rsid w:val="00AA1350"/>
    <w:rsid w:val="00AA1D3F"/>
    <w:rsid w:val="00AA1FD2"/>
    <w:rsid w:val="00AA220B"/>
    <w:rsid w:val="00AA2276"/>
    <w:rsid w:val="00AA3525"/>
    <w:rsid w:val="00AA499D"/>
    <w:rsid w:val="00AA6A21"/>
    <w:rsid w:val="00AA6DD2"/>
    <w:rsid w:val="00AA76E1"/>
    <w:rsid w:val="00AB00A3"/>
    <w:rsid w:val="00AB105A"/>
    <w:rsid w:val="00AB138C"/>
    <w:rsid w:val="00AB3297"/>
    <w:rsid w:val="00AB40AA"/>
    <w:rsid w:val="00AB4DD4"/>
    <w:rsid w:val="00AB5030"/>
    <w:rsid w:val="00AB532C"/>
    <w:rsid w:val="00AB5833"/>
    <w:rsid w:val="00AB7029"/>
    <w:rsid w:val="00AB75EF"/>
    <w:rsid w:val="00AC058D"/>
    <w:rsid w:val="00AC074A"/>
    <w:rsid w:val="00AC2D5B"/>
    <w:rsid w:val="00AC402B"/>
    <w:rsid w:val="00AC637B"/>
    <w:rsid w:val="00AC6E66"/>
    <w:rsid w:val="00AC70F1"/>
    <w:rsid w:val="00AC7D92"/>
    <w:rsid w:val="00AD0859"/>
    <w:rsid w:val="00AD23EF"/>
    <w:rsid w:val="00AD354A"/>
    <w:rsid w:val="00AD378B"/>
    <w:rsid w:val="00AD386D"/>
    <w:rsid w:val="00AD57B5"/>
    <w:rsid w:val="00AD633E"/>
    <w:rsid w:val="00AD65A0"/>
    <w:rsid w:val="00AD6EED"/>
    <w:rsid w:val="00AD78E3"/>
    <w:rsid w:val="00AE0054"/>
    <w:rsid w:val="00AE02E2"/>
    <w:rsid w:val="00AE07AE"/>
    <w:rsid w:val="00AE135F"/>
    <w:rsid w:val="00AE170C"/>
    <w:rsid w:val="00AE2051"/>
    <w:rsid w:val="00AE2BEF"/>
    <w:rsid w:val="00AE3FCA"/>
    <w:rsid w:val="00AE440E"/>
    <w:rsid w:val="00AE48C4"/>
    <w:rsid w:val="00AE502E"/>
    <w:rsid w:val="00AE53C7"/>
    <w:rsid w:val="00AE5AAC"/>
    <w:rsid w:val="00AE5B25"/>
    <w:rsid w:val="00AF0D47"/>
    <w:rsid w:val="00AF24D2"/>
    <w:rsid w:val="00AF4041"/>
    <w:rsid w:val="00AF592C"/>
    <w:rsid w:val="00AF5A50"/>
    <w:rsid w:val="00B006C1"/>
    <w:rsid w:val="00B01B99"/>
    <w:rsid w:val="00B029CA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17EF"/>
    <w:rsid w:val="00B21A00"/>
    <w:rsid w:val="00B227CC"/>
    <w:rsid w:val="00B22FCF"/>
    <w:rsid w:val="00B23B94"/>
    <w:rsid w:val="00B23F54"/>
    <w:rsid w:val="00B244F0"/>
    <w:rsid w:val="00B254E5"/>
    <w:rsid w:val="00B310C5"/>
    <w:rsid w:val="00B316B8"/>
    <w:rsid w:val="00B31E08"/>
    <w:rsid w:val="00B33440"/>
    <w:rsid w:val="00B33BDA"/>
    <w:rsid w:val="00B35301"/>
    <w:rsid w:val="00B40938"/>
    <w:rsid w:val="00B43198"/>
    <w:rsid w:val="00B4388C"/>
    <w:rsid w:val="00B4587E"/>
    <w:rsid w:val="00B46FC8"/>
    <w:rsid w:val="00B47D70"/>
    <w:rsid w:val="00B52BBE"/>
    <w:rsid w:val="00B5357E"/>
    <w:rsid w:val="00B578EE"/>
    <w:rsid w:val="00B600CD"/>
    <w:rsid w:val="00B601F6"/>
    <w:rsid w:val="00B609D7"/>
    <w:rsid w:val="00B60FCC"/>
    <w:rsid w:val="00B61C17"/>
    <w:rsid w:val="00B61F36"/>
    <w:rsid w:val="00B63FCC"/>
    <w:rsid w:val="00B6578B"/>
    <w:rsid w:val="00B65FC4"/>
    <w:rsid w:val="00B660B1"/>
    <w:rsid w:val="00B7046C"/>
    <w:rsid w:val="00B70CAF"/>
    <w:rsid w:val="00B71D11"/>
    <w:rsid w:val="00B7263D"/>
    <w:rsid w:val="00B74CC6"/>
    <w:rsid w:val="00B7668A"/>
    <w:rsid w:val="00B77F17"/>
    <w:rsid w:val="00B80998"/>
    <w:rsid w:val="00B81CFC"/>
    <w:rsid w:val="00B83343"/>
    <w:rsid w:val="00B851C5"/>
    <w:rsid w:val="00B857AB"/>
    <w:rsid w:val="00B86B32"/>
    <w:rsid w:val="00B87066"/>
    <w:rsid w:val="00B87DA0"/>
    <w:rsid w:val="00B90D33"/>
    <w:rsid w:val="00B91D4C"/>
    <w:rsid w:val="00B91DD9"/>
    <w:rsid w:val="00B93DFF"/>
    <w:rsid w:val="00B94049"/>
    <w:rsid w:val="00B96E34"/>
    <w:rsid w:val="00BA20C2"/>
    <w:rsid w:val="00BA2BE3"/>
    <w:rsid w:val="00BA4F7F"/>
    <w:rsid w:val="00BA53AA"/>
    <w:rsid w:val="00BA68E1"/>
    <w:rsid w:val="00BA74F3"/>
    <w:rsid w:val="00BA7682"/>
    <w:rsid w:val="00BA790A"/>
    <w:rsid w:val="00BB1BF2"/>
    <w:rsid w:val="00BB299C"/>
    <w:rsid w:val="00BB30A7"/>
    <w:rsid w:val="00BB3671"/>
    <w:rsid w:val="00BB3725"/>
    <w:rsid w:val="00BB38A7"/>
    <w:rsid w:val="00BB3EEE"/>
    <w:rsid w:val="00BB4100"/>
    <w:rsid w:val="00BB4D03"/>
    <w:rsid w:val="00BB519D"/>
    <w:rsid w:val="00BB66D9"/>
    <w:rsid w:val="00BB6725"/>
    <w:rsid w:val="00BC190B"/>
    <w:rsid w:val="00BC1BAF"/>
    <w:rsid w:val="00BC2269"/>
    <w:rsid w:val="00BC3908"/>
    <w:rsid w:val="00BC4848"/>
    <w:rsid w:val="00BC507C"/>
    <w:rsid w:val="00BC5471"/>
    <w:rsid w:val="00BC5B60"/>
    <w:rsid w:val="00BC713A"/>
    <w:rsid w:val="00BC75A4"/>
    <w:rsid w:val="00BD194C"/>
    <w:rsid w:val="00BD1FAE"/>
    <w:rsid w:val="00BD33E0"/>
    <w:rsid w:val="00BD3F5D"/>
    <w:rsid w:val="00BD5E63"/>
    <w:rsid w:val="00BD7053"/>
    <w:rsid w:val="00BE14CD"/>
    <w:rsid w:val="00BE392F"/>
    <w:rsid w:val="00BE4CBD"/>
    <w:rsid w:val="00BE5585"/>
    <w:rsid w:val="00BE5CE8"/>
    <w:rsid w:val="00BF1DC5"/>
    <w:rsid w:val="00BF235B"/>
    <w:rsid w:val="00BF2A56"/>
    <w:rsid w:val="00BF2F39"/>
    <w:rsid w:val="00BF3ABC"/>
    <w:rsid w:val="00BF6439"/>
    <w:rsid w:val="00BF6554"/>
    <w:rsid w:val="00BF688A"/>
    <w:rsid w:val="00BF6CFB"/>
    <w:rsid w:val="00BF7792"/>
    <w:rsid w:val="00C015AA"/>
    <w:rsid w:val="00C02339"/>
    <w:rsid w:val="00C039E9"/>
    <w:rsid w:val="00C064F9"/>
    <w:rsid w:val="00C072D3"/>
    <w:rsid w:val="00C10100"/>
    <w:rsid w:val="00C11ECB"/>
    <w:rsid w:val="00C1350D"/>
    <w:rsid w:val="00C147EC"/>
    <w:rsid w:val="00C1602F"/>
    <w:rsid w:val="00C20EA2"/>
    <w:rsid w:val="00C23731"/>
    <w:rsid w:val="00C2423D"/>
    <w:rsid w:val="00C26389"/>
    <w:rsid w:val="00C27467"/>
    <w:rsid w:val="00C30058"/>
    <w:rsid w:val="00C33180"/>
    <w:rsid w:val="00C338A3"/>
    <w:rsid w:val="00C35A4A"/>
    <w:rsid w:val="00C35D31"/>
    <w:rsid w:val="00C37232"/>
    <w:rsid w:val="00C37D9C"/>
    <w:rsid w:val="00C40275"/>
    <w:rsid w:val="00C429C1"/>
    <w:rsid w:val="00C45C28"/>
    <w:rsid w:val="00C45EC4"/>
    <w:rsid w:val="00C464ED"/>
    <w:rsid w:val="00C52699"/>
    <w:rsid w:val="00C52FB2"/>
    <w:rsid w:val="00C5639D"/>
    <w:rsid w:val="00C57CA5"/>
    <w:rsid w:val="00C6024B"/>
    <w:rsid w:val="00C61B41"/>
    <w:rsid w:val="00C6240F"/>
    <w:rsid w:val="00C706CC"/>
    <w:rsid w:val="00C73A9E"/>
    <w:rsid w:val="00C73E84"/>
    <w:rsid w:val="00C754AD"/>
    <w:rsid w:val="00C767A8"/>
    <w:rsid w:val="00C7755E"/>
    <w:rsid w:val="00C77AFF"/>
    <w:rsid w:val="00C801A9"/>
    <w:rsid w:val="00C82701"/>
    <w:rsid w:val="00C83514"/>
    <w:rsid w:val="00C83A59"/>
    <w:rsid w:val="00C83C30"/>
    <w:rsid w:val="00C83F3D"/>
    <w:rsid w:val="00C843C3"/>
    <w:rsid w:val="00C86318"/>
    <w:rsid w:val="00C86EA3"/>
    <w:rsid w:val="00C874FE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510F"/>
    <w:rsid w:val="00CA6C0F"/>
    <w:rsid w:val="00CA6FAA"/>
    <w:rsid w:val="00CA7443"/>
    <w:rsid w:val="00CB0935"/>
    <w:rsid w:val="00CB26AC"/>
    <w:rsid w:val="00CB2AA3"/>
    <w:rsid w:val="00CB2E24"/>
    <w:rsid w:val="00CB3551"/>
    <w:rsid w:val="00CB6FCC"/>
    <w:rsid w:val="00CB7C4A"/>
    <w:rsid w:val="00CC1824"/>
    <w:rsid w:val="00CC390B"/>
    <w:rsid w:val="00CC48D5"/>
    <w:rsid w:val="00CC4E08"/>
    <w:rsid w:val="00CC4F1B"/>
    <w:rsid w:val="00CC4FC3"/>
    <w:rsid w:val="00CC6162"/>
    <w:rsid w:val="00CC64B2"/>
    <w:rsid w:val="00CC68BF"/>
    <w:rsid w:val="00CC6B5D"/>
    <w:rsid w:val="00CC723D"/>
    <w:rsid w:val="00CC7BA7"/>
    <w:rsid w:val="00CD07B7"/>
    <w:rsid w:val="00CD178B"/>
    <w:rsid w:val="00CD1BE0"/>
    <w:rsid w:val="00CD21F1"/>
    <w:rsid w:val="00CD4655"/>
    <w:rsid w:val="00CD6CBA"/>
    <w:rsid w:val="00CE19E2"/>
    <w:rsid w:val="00CE2EC0"/>
    <w:rsid w:val="00CE3168"/>
    <w:rsid w:val="00CE3A9A"/>
    <w:rsid w:val="00CE3ED2"/>
    <w:rsid w:val="00CE5DE4"/>
    <w:rsid w:val="00CE671C"/>
    <w:rsid w:val="00CE729D"/>
    <w:rsid w:val="00CE7DD6"/>
    <w:rsid w:val="00CF0171"/>
    <w:rsid w:val="00CF2627"/>
    <w:rsid w:val="00CF31BC"/>
    <w:rsid w:val="00CF354F"/>
    <w:rsid w:val="00D0168B"/>
    <w:rsid w:val="00D01D78"/>
    <w:rsid w:val="00D03CF6"/>
    <w:rsid w:val="00D054C8"/>
    <w:rsid w:val="00D07187"/>
    <w:rsid w:val="00D10728"/>
    <w:rsid w:val="00D10CB7"/>
    <w:rsid w:val="00D121FF"/>
    <w:rsid w:val="00D12355"/>
    <w:rsid w:val="00D14041"/>
    <w:rsid w:val="00D154CE"/>
    <w:rsid w:val="00D16248"/>
    <w:rsid w:val="00D17AAF"/>
    <w:rsid w:val="00D20063"/>
    <w:rsid w:val="00D200C3"/>
    <w:rsid w:val="00D233AB"/>
    <w:rsid w:val="00D242FD"/>
    <w:rsid w:val="00D255AA"/>
    <w:rsid w:val="00D2585F"/>
    <w:rsid w:val="00D300D9"/>
    <w:rsid w:val="00D3060D"/>
    <w:rsid w:val="00D30E71"/>
    <w:rsid w:val="00D3183B"/>
    <w:rsid w:val="00D327AF"/>
    <w:rsid w:val="00D33122"/>
    <w:rsid w:val="00D33987"/>
    <w:rsid w:val="00D34A6E"/>
    <w:rsid w:val="00D350D6"/>
    <w:rsid w:val="00D35F27"/>
    <w:rsid w:val="00D42EEB"/>
    <w:rsid w:val="00D436EA"/>
    <w:rsid w:val="00D44B02"/>
    <w:rsid w:val="00D44EF1"/>
    <w:rsid w:val="00D4578D"/>
    <w:rsid w:val="00D45FAC"/>
    <w:rsid w:val="00D51692"/>
    <w:rsid w:val="00D51FE0"/>
    <w:rsid w:val="00D5224E"/>
    <w:rsid w:val="00D52FDE"/>
    <w:rsid w:val="00D55326"/>
    <w:rsid w:val="00D60412"/>
    <w:rsid w:val="00D6071A"/>
    <w:rsid w:val="00D623A3"/>
    <w:rsid w:val="00D630DC"/>
    <w:rsid w:val="00D630F7"/>
    <w:rsid w:val="00D637DF"/>
    <w:rsid w:val="00D64E95"/>
    <w:rsid w:val="00D65A12"/>
    <w:rsid w:val="00D65CAA"/>
    <w:rsid w:val="00D7087E"/>
    <w:rsid w:val="00D71CEF"/>
    <w:rsid w:val="00D7223E"/>
    <w:rsid w:val="00D725F2"/>
    <w:rsid w:val="00D72D7F"/>
    <w:rsid w:val="00D72EA2"/>
    <w:rsid w:val="00D73589"/>
    <w:rsid w:val="00D74030"/>
    <w:rsid w:val="00D746BC"/>
    <w:rsid w:val="00D77021"/>
    <w:rsid w:val="00D8008D"/>
    <w:rsid w:val="00D80689"/>
    <w:rsid w:val="00D80B85"/>
    <w:rsid w:val="00D81943"/>
    <w:rsid w:val="00D84BB5"/>
    <w:rsid w:val="00D854C7"/>
    <w:rsid w:val="00D86BA5"/>
    <w:rsid w:val="00D875E1"/>
    <w:rsid w:val="00D906DE"/>
    <w:rsid w:val="00D915C6"/>
    <w:rsid w:val="00D92323"/>
    <w:rsid w:val="00D93AA4"/>
    <w:rsid w:val="00D9425D"/>
    <w:rsid w:val="00D943F6"/>
    <w:rsid w:val="00D95B3B"/>
    <w:rsid w:val="00D96ED1"/>
    <w:rsid w:val="00D97282"/>
    <w:rsid w:val="00D97CAF"/>
    <w:rsid w:val="00D97FF6"/>
    <w:rsid w:val="00DA22B4"/>
    <w:rsid w:val="00DA24C1"/>
    <w:rsid w:val="00DA302A"/>
    <w:rsid w:val="00DA357B"/>
    <w:rsid w:val="00DA3EE2"/>
    <w:rsid w:val="00DA4141"/>
    <w:rsid w:val="00DA4A2B"/>
    <w:rsid w:val="00DA5865"/>
    <w:rsid w:val="00DA5C74"/>
    <w:rsid w:val="00DA6F57"/>
    <w:rsid w:val="00DA78EE"/>
    <w:rsid w:val="00DB0F9F"/>
    <w:rsid w:val="00DB1172"/>
    <w:rsid w:val="00DB154B"/>
    <w:rsid w:val="00DB30D2"/>
    <w:rsid w:val="00DB3C07"/>
    <w:rsid w:val="00DB3EE3"/>
    <w:rsid w:val="00DB3F70"/>
    <w:rsid w:val="00DB5EBA"/>
    <w:rsid w:val="00DB771A"/>
    <w:rsid w:val="00DC069F"/>
    <w:rsid w:val="00DC153C"/>
    <w:rsid w:val="00DC46EE"/>
    <w:rsid w:val="00DC53A6"/>
    <w:rsid w:val="00DC5F93"/>
    <w:rsid w:val="00DC6417"/>
    <w:rsid w:val="00DD04B8"/>
    <w:rsid w:val="00DD163C"/>
    <w:rsid w:val="00DD2BE6"/>
    <w:rsid w:val="00DD2ECC"/>
    <w:rsid w:val="00DD3B86"/>
    <w:rsid w:val="00DD403A"/>
    <w:rsid w:val="00DD434B"/>
    <w:rsid w:val="00DD44EB"/>
    <w:rsid w:val="00DD50FB"/>
    <w:rsid w:val="00DD7346"/>
    <w:rsid w:val="00DE1F9D"/>
    <w:rsid w:val="00DE338F"/>
    <w:rsid w:val="00DE3A2B"/>
    <w:rsid w:val="00DE5D39"/>
    <w:rsid w:val="00DE6AA4"/>
    <w:rsid w:val="00DE775E"/>
    <w:rsid w:val="00DF35E7"/>
    <w:rsid w:val="00DF3A5D"/>
    <w:rsid w:val="00DF4661"/>
    <w:rsid w:val="00DF4A6D"/>
    <w:rsid w:val="00DF50A2"/>
    <w:rsid w:val="00DF60F6"/>
    <w:rsid w:val="00DF696F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102A0"/>
    <w:rsid w:val="00E110BC"/>
    <w:rsid w:val="00E12B73"/>
    <w:rsid w:val="00E13D73"/>
    <w:rsid w:val="00E140E4"/>
    <w:rsid w:val="00E14B97"/>
    <w:rsid w:val="00E16032"/>
    <w:rsid w:val="00E17F79"/>
    <w:rsid w:val="00E21114"/>
    <w:rsid w:val="00E21C64"/>
    <w:rsid w:val="00E22B00"/>
    <w:rsid w:val="00E22CFD"/>
    <w:rsid w:val="00E23B4F"/>
    <w:rsid w:val="00E23D43"/>
    <w:rsid w:val="00E2454A"/>
    <w:rsid w:val="00E24954"/>
    <w:rsid w:val="00E24F18"/>
    <w:rsid w:val="00E2540D"/>
    <w:rsid w:val="00E25CA3"/>
    <w:rsid w:val="00E2765B"/>
    <w:rsid w:val="00E3002D"/>
    <w:rsid w:val="00E309A8"/>
    <w:rsid w:val="00E3105D"/>
    <w:rsid w:val="00E31624"/>
    <w:rsid w:val="00E3511D"/>
    <w:rsid w:val="00E3586A"/>
    <w:rsid w:val="00E35B81"/>
    <w:rsid w:val="00E36DDD"/>
    <w:rsid w:val="00E37CAC"/>
    <w:rsid w:val="00E406CB"/>
    <w:rsid w:val="00E43509"/>
    <w:rsid w:val="00E43BE9"/>
    <w:rsid w:val="00E44E96"/>
    <w:rsid w:val="00E47BA4"/>
    <w:rsid w:val="00E5246D"/>
    <w:rsid w:val="00E5337F"/>
    <w:rsid w:val="00E54A85"/>
    <w:rsid w:val="00E54AA0"/>
    <w:rsid w:val="00E55336"/>
    <w:rsid w:val="00E554D2"/>
    <w:rsid w:val="00E558E6"/>
    <w:rsid w:val="00E563C0"/>
    <w:rsid w:val="00E60A97"/>
    <w:rsid w:val="00E62030"/>
    <w:rsid w:val="00E62B96"/>
    <w:rsid w:val="00E655FD"/>
    <w:rsid w:val="00E66CCE"/>
    <w:rsid w:val="00E7031F"/>
    <w:rsid w:val="00E70B81"/>
    <w:rsid w:val="00E72016"/>
    <w:rsid w:val="00E74A16"/>
    <w:rsid w:val="00E75254"/>
    <w:rsid w:val="00E77352"/>
    <w:rsid w:val="00E836C9"/>
    <w:rsid w:val="00E848FF"/>
    <w:rsid w:val="00E857D9"/>
    <w:rsid w:val="00E87126"/>
    <w:rsid w:val="00E9047C"/>
    <w:rsid w:val="00E90ADB"/>
    <w:rsid w:val="00E913B9"/>
    <w:rsid w:val="00E919CC"/>
    <w:rsid w:val="00E92E82"/>
    <w:rsid w:val="00E937E0"/>
    <w:rsid w:val="00E94CAD"/>
    <w:rsid w:val="00E954AF"/>
    <w:rsid w:val="00E95F8B"/>
    <w:rsid w:val="00E96038"/>
    <w:rsid w:val="00EA16D1"/>
    <w:rsid w:val="00EA2D80"/>
    <w:rsid w:val="00EA2DEA"/>
    <w:rsid w:val="00EA37B2"/>
    <w:rsid w:val="00EA3B28"/>
    <w:rsid w:val="00EA3B7F"/>
    <w:rsid w:val="00EA3C51"/>
    <w:rsid w:val="00EA3D49"/>
    <w:rsid w:val="00EA5C68"/>
    <w:rsid w:val="00EA7466"/>
    <w:rsid w:val="00EB1454"/>
    <w:rsid w:val="00EB20A3"/>
    <w:rsid w:val="00EB569C"/>
    <w:rsid w:val="00EB6CAE"/>
    <w:rsid w:val="00EB7D45"/>
    <w:rsid w:val="00EC0B6B"/>
    <w:rsid w:val="00EC0C33"/>
    <w:rsid w:val="00EC1257"/>
    <w:rsid w:val="00EC1632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720"/>
    <w:rsid w:val="00EC7B42"/>
    <w:rsid w:val="00EC7C3F"/>
    <w:rsid w:val="00ED0F51"/>
    <w:rsid w:val="00ED1264"/>
    <w:rsid w:val="00ED1911"/>
    <w:rsid w:val="00ED2BC5"/>
    <w:rsid w:val="00ED4A3D"/>
    <w:rsid w:val="00ED5A96"/>
    <w:rsid w:val="00ED7825"/>
    <w:rsid w:val="00ED7FEC"/>
    <w:rsid w:val="00EE04CF"/>
    <w:rsid w:val="00EE1A1F"/>
    <w:rsid w:val="00EE219E"/>
    <w:rsid w:val="00EE227A"/>
    <w:rsid w:val="00EE3372"/>
    <w:rsid w:val="00EE38AA"/>
    <w:rsid w:val="00EE42A8"/>
    <w:rsid w:val="00EE56E9"/>
    <w:rsid w:val="00EE64FD"/>
    <w:rsid w:val="00EE710F"/>
    <w:rsid w:val="00EE7CA6"/>
    <w:rsid w:val="00EF05B5"/>
    <w:rsid w:val="00EF13FE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59BC"/>
    <w:rsid w:val="00F102EA"/>
    <w:rsid w:val="00F11B88"/>
    <w:rsid w:val="00F12D3B"/>
    <w:rsid w:val="00F12DB5"/>
    <w:rsid w:val="00F13D25"/>
    <w:rsid w:val="00F13EFD"/>
    <w:rsid w:val="00F14DE1"/>
    <w:rsid w:val="00F1513A"/>
    <w:rsid w:val="00F15ECB"/>
    <w:rsid w:val="00F175E7"/>
    <w:rsid w:val="00F17905"/>
    <w:rsid w:val="00F17A82"/>
    <w:rsid w:val="00F17BBC"/>
    <w:rsid w:val="00F17C6D"/>
    <w:rsid w:val="00F20546"/>
    <w:rsid w:val="00F20E46"/>
    <w:rsid w:val="00F21019"/>
    <w:rsid w:val="00F21500"/>
    <w:rsid w:val="00F21838"/>
    <w:rsid w:val="00F229A3"/>
    <w:rsid w:val="00F23A12"/>
    <w:rsid w:val="00F24D48"/>
    <w:rsid w:val="00F30409"/>
    <w:rsid w:val="00F3098B"/>
    <w:rsid w:val="00F30B08"/>
    <w:rsid w:val="00F33108"/>
    <w:rsid w:val="00F3345E"/>
    <w:rsid w:val="00F334F1"/>
    <w:rsid w:val="00F33DDD"/>
    <w:rsid w:val="00F3527B"/>
    <w:rsid w:val="00F36DD1"/>
    <w:rsid w:val="00F42ABC"/>
    <w:rsid w:val="00F43F57"/>
    <w:rsid w:val="00F4419C"/>
    <w:rsid w:val="00F45341"/>
    <w:rsid w:val="00F45E68"/>
    <w:rsid w:val="00F4675E"/>
    <w:rsid w:val="00F471C0"/>
    <w:rsid w:val="00F471EA"/>
    <w:rsid w:val="00F47778"/>
    <w:rsid w:val="00F479CC"/>
    <w:rsid w:val="00F50235"/>
    <w:rsid w:val="00F50E62"/>
    <w:rsid w:val="00F510CF"/>
    <w:rsid w:val="00F52BC0"/>
    <w:rsid w:val="00F534DD"/>
    <w:rsid w:val="00F53E43"/>
    <w:rsid w:val="00F56B78"/>
    <w:rsid w:val="00F61451"/>
    <w:rsid w:val="00F617CB"/>
    <w:rsid w:val="00F61C0B"/>
    <w:rsid w:val="00F6221F"/>
    <w:rsid w:val="00F63B16"/>
    <w:rsid w:val="00F6543A"/>
    <w:rsid w:val="00F666A9"/>
    <w:rsid w:val="00F67318"/>
    <w:rsid w:val="00F67ABA"/>
    <w:rsid w:val="00F67E9F"/>
    <w:rsid w:val="00F67F59"/>
    <w:rsid w:val="00F72966"/>
    <w:rsid w:val="00F737A3"/>
    <w:rsid w:val="00F73B3F"/>
    <w:rsid w:val="00F73D0F"/>
    <w:rsid w:val="00F73DCD"/>
    <w:rsid w:val="00F7442E"/>
    <w:rsid w:val="00F80F14"/>
    <w:rsid w:val="00F81D6B"/>
    <w:rsid w:val="00F827C3"/>
    <w:rsid w:val="00F83809"/>
    <w:rsid w:val="00F84ECF"/>
    <w:rsid w:val="00F853D8"/>
    <w:rsid w:val="00F8586C"/>
    <w:rsid w:val="00F86F7F"/>
    <w:rsid w:val="00F87A3E"/>
    <w:rsid w:val="00F906EF"/>
    <w:rsid w:val="00F93978"/>
    <w:rsid w:val="00F939A6"/>
    <w:rsid w:val="00F93B6A"/>
    <w:rsid w:val="00F960D8"/>
    <w:rsid w:val="00FA05BD"/>
    <w:rsid w:val="00FA065B"/>
    <w:rsid w:val="00FA2855"/>
    <w:rsid w:val="00FA31CE"/>
    <w:rsid w:val="00FA55A6"/>
    <w:rsid w:val="00FA5E14"/>
    <w:rsid w:val="00FB02BB"/>
    <w:rsid w:val="00FB1043"/>
    <w:rsid w:val="00FB2417"/>
    <w:rsid w:val="00FB32F5"/>
    <w:rsid w:val="00FB342D"/>
    <w:rsid w:val="00FB6022"/>
    <w:rsid w:val="00FB6489"/>
    <w:rsid w:val="00FB6BB0"/>
    <w:rsid w:val="00FC2A3A"/>
    <w:rsid w:val="00FC331D"/>
    <w:rsid w:val="00FC3782"/>
    <w:rsid w:val="00FC46F9"/>
    <w:rsid w:val="00FC6406"/>
    <w:rsid w:val="00FC6857"/>
    <w:rsid w:val="00FC6F32"/>
    <w:rsid w:val="00FC7C05"/>
    <w:rsid w:val="00FD1C89"/>
    <w:rsid w:val="00FD3291"/>
    <w:rsid w:val="00FD5523"/>
    <w:rsid w:val="00FD6125"/>
    <w:rsid w:val="00FD6E79"/>
    <w:rsid w:val="00FD7DE4"/>
    <w:rsid w:val="00FE0B8F"/>
    <w:rsid w:val="00FE1F94"/>
    <w:rsid w:val="00FE45A3"/>
    <w:rsid w:val="00FE5351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24540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30F7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5EBD-3C75-4160-B549-51053E68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3085</TotalTime>
  <Pages>10</Pages>
  <Words>2767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17951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109</cp:revision>
  <cp:lastPrinted>2010-03-01T17:35:00Z</cp:lastPrinted>
  <dcterms:created xsi:type="dcterms:W3CDTF">2015-12-15T17:05:00Z</dcterms:created>
  <dcterms:modified xsi:type="dcterms:W3CDTF">2017-04-18T07:39:00Z</dcterms:modified>
</cp:coreProperties>
</file>