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C82" w:rsidRPr="005A7A5E" w:rsidRDefault="004C5C82" w:rsidP="005A7A5E">
      <w:pPr>
        <w:spacing w:before="48" w:after="120" w:line="240" w:lineRule="auto"/>
        <w:jc w:val="both"/>
        <w:outlineLvl w:val="0"/>
        <w:rPr>
          <w:rFonts w:ascii="Garamond" w:eastAsia="Times New Roman" w:hAnsi="Garamond" w:cs="Times New Roman"/>
          <w:color w:val="222222"/>
          <w:kern w:val="36"/>
          <w:sz w:val="42"/>
          <w:szCs w:val="42"/>
          <w:lang w:eastAsia="es-US"/>
        </w:rPr>
      </w:pPr>
      <w:r w:rsidRPr="005A7A5E">
        <w:rPr>
          <w:rFonts w:ascii="Garamond" w:eastAsia="Times New Roman" w:hAnsi="Garamond" w:cs="Times New Roman"/>
          <w:color w:val="222222"/>
          <w:kern w:val="36"/>
          <w:sz w:val="42"/>
          <w:szCs w:val="42"/>
          <w:lang w:eastAsia="es-US"/>
        </w:rPr>
        <w:t>S.R.L.</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0"/>
          <w:szCs w:val="20"/>
          <w:lang w:val="es-UY" w:eastAsia="es-US"/>
        </w:rPr>
      </w:pPr>
      <w:r w:rsidRPr="005A7A5E">
        <w:rPr>
          <w:rFonts w:ascii="Garamond" w:eastAsia="Times New Roman" w:hAnsi="Garamond" w:cs="Arial"/>
          <w:b/>
          <w:bCs/>
          <w:color w:val="222222"/>
          <w:sz w:val="24"/>
          <w:szCs w:val="24"/>
          <w:u w:val="single"/>
          <w:lang w:val="es-UY" w:eastAsia="es-US"/>
        </w:rPr>
        <w:t>SOCIEDADES DE RESPONSABILIDAD LIMITADA</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0"/>
          <w:szCs w:val="20"/>
          <w:lang w:val="es-UY" w:eastAsia="es-US"/>
        </w:rPr>
      </w:pPr>
      <w:r w:rsidRPr="005A7A5E">
        <w:rPr>
          <w:rFonts w:ascii="Garamond" w:eastAsia="Times New Roman" w:hAnsi="Garamond" w:cs="Arial"/>
          <w:i/>
          <w:iCs/>
          <w:color w:val="222222"/>
          <w:sz w:val="24"/>
          <w:szCs w:val="24"/>
          <w:lang w:val="es-UY" w:eastAsia="es-US"/>
        </w:rPr>
        <w:t>Son sociedades que solamente pueden hacerse a medida y por encargo de cada cliente, con por lo menos dos socios.</w:t>
      </w:r>
    </w:p>
    <w:p w:rsidR="004C5C82" w:rsidRPr="005A7A5E" w:rsidRDefault="004C5C82" w:rsidP="005A7A5E">
      <w:pPr>
        <w:numPr>
          <w:ilvl w:val="0"/>
          <w:numId w:val="1"/>
        </w:numPr>
        <w:shd w:val="clear" w:color="auto" w:fill="FFFFFF"/>
        <w:spacing w:after="300" w:line="240" w:lineRule="auto"/>
        <w:ind w:left="0"/>
        <w:jc w:val="both"/>
        <w:rPr>
          <w:rFonts w:ascii="Garamond" w:eastAsia="Times New Roman" w:hAnsi="Garamond" w:cs="Arial"/>
          <w:color w:val="222222"/>
          <w:sz w:val="20"/>
          <w:szCs w:val="20"/>
          <w:lang w:eastAsia="es-US"/>
        </w:rPr>
      </w:pPr>
      <w:r w:rsidRPr="005A7A5E">
        <w:rPr>
          <w:rFonts w:ascii="Garamond" w:eastAsia="Times New Roman" w:hAnsi="Garamond" w:cs="Arial"/>
          <w:color w:val="222222"/>
          <w:sz w:val="24"/>
          <w:szCs w:val="24"/>
          <w:lang w:eastAsia="es-US"/>
        </w:rPr>
        <w:t>Los socios no deberían tener embargos inscriptos.</w:t>
      </w:r>
    </w:p>
    <w:p w:rsidR="004C5C82" w:rsidRPr="005A7A5E" w:rsidRDefault="004C5C82" w:rsidP="005A7A5E">
      <w:pPr>
        <w:numPr>
          <w:ilvl w:val="0"/>
          <w:numId w:val="2"/>
        </w:numPr>
        <w:shd w:val="clear" w:color="auto" w:fill="FFFFFF"/>
        <w:spacing w:after="300" w:line="240" w:lineRule="auto"/>
        <w:ind w:left="0"/>
        <w:jc w:val="both"/>
        <w:rPr>
          <w:rFonts w:ascii="Garamond" w:eastAsia="Times New Roman" w:hAnsi="Garamond" w:cs="Arial"/>
          <w:color w:val="222222"/>
          <w:sz w:val="20"/>
          <w:szCs w:val="20"/>
          <w:lang w:eastAsia="es-US"/>
        </w:rPr>
      </w:pPr>
      <w:r w:rsidRPr="005A7A5E">
        <w:rPr>
          <w:rFonts w:ascii="Garamond" w:eastAsia="Times New Roman" w:hAnsi="Garamond" w:cs="Arial"/>
          <w:color w:val="222222"/>
          <w:sz w:val="24"/>
          <w:szCs w:val="24"/>
          <w:lang w:eastAsia="es-US"/>
        </w:rPr>
        <w:t>Los socios determinaran su capital, teniéndose presente la conveniencia de fijar un capital social mínimo, por ejemplo $ 30.000, $ 40.000 hasta $ 100.000, ya que para capitales mayores aumentan los costos de montepíos notariales.</w:t>
      </w:r>
    </w:p>
    <w:p w:rsidR="004C5C82" w:rsidRPr="005A7A5E" w:rsidRDefault="004C5C82" w:rsidP="005A7A5E">
      <w:pPr>
        <w:numPr>
          <w:ilvl w:val="0"/>
          <w:numId w:val="3"/>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La Administración estará a cargo de los socios en la forma que ellos mismos acuerden, por ejemplo en forma conjunta o indistinta, etc.</w:t>
      </w:r>
    </w:p>
    <w:p w:rsidR="004C5C82" w:rsidRPr="005A7A5E" w:rsidRDefault="004C5C82" w:rsidP="005A7A5E">
      <w:pPr>
        <w:numPr>
          <w:ilvl w:val="0"/>
          <w:numId w:val="4"/>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El giro puede ser el estándar y particularmente se incluye como principal, la actividad más importante que se va a realizar.</w:t>
      </w:r>
    </w:p>
    <w:p w:rsidR="004C5C82" w:rsidRPr="005A7A5E" w:rsidRDefault="004C5C82" w:rsidP="005A7A5E">
      <w:pPr>
        <w:numPr>
          <w:ilvl w:val="0"/>
          <w:numId w:val="5"/>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Las Sociedades se entregan inscriptas en DGI y BPS, debiéndose establecer para BPS, cual es el socio que aporta y que va a tener actividad.</w:t>
      </w:r>
    </w:p>
    <w:p w:rsidR="004C5C82" w:rsidRPr="005A7A5E" w:rsidRDefault="004C5C82" w:rsidP="005A7A5E">
      <w:pPr>
        <w:numPr>
          <w:ilvl w:val="0"/>
          <w:numId w:val="6"/>
        </w:numPr>
        <w:shd w:val="clear" w:color="auto" w:fill="FFFFFF"/>
        <w:spacing w:after="300" w:line="240" w:lineRule="auto"/>
        <w:ind w:left="0"/>
        <w:jc w:val="both"/>
        <w:rPr>
          <w:rFonts w:ascii="Garamond" w:eastAsia="Times New Roman" w:hAnsi="Garamond" w:cs="Arial"/>
          <w:color w:val="222222"/>
          <w:sz w:val="20"/>
          <w:szCs w:val="20"/>
          <w:lang w:eastAsia="es-US"/>
        </w:rPr>
      </w:pPr>
      <w:r w:rsidRPr="005A7A5E">
        <w:rPr>
          <w:rFonts w:ascii="Garamond" w:eastAsia="Times New Roman" w:hAnsi="Garamond" w:cs="Arial"/>
          <w:color w:val="222222"/>
          <w:sz w:val="24"/>
          <w:szCs w:val="24"/>
          <w:lang w:eastAsia="es-US"/>
        </w:rPr>
        <w:t>Los aportes a BPS se pueden realizar por uno solo de los socios, que deberá ser el socio que declare actividad.</w:t>
      </w:r>
    </w:p>
    <w:p w:rsidR="004C5C82" w:rsidRPr="005A7A5E" w:rsidRDefault="004C5C82" w:rsidP="005A7A5E">
      <w:pPr>
        <w:numPr>
          <w:ilvl w:val="0"/>
          <w:numId w:val="7"/>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Los socios serán responsables de las deudas sociales, hasta el máximo del capital social, respondiendo con sus propios bienes por las obligaciones de la sociedad.</w:t>
      </w:r>
    </w:p>
    <w:p w:rsidR="004C5C82" w:rsidRPr="005A7A5E" w:rsidRDefault="004C5C82" w:rsidP="005A7A5E">
      <w:pPr>
        <w:numPr>
          <w:ilvl w:val="0"/>
          <w:numId w:val="8"/>
        </w:numPr>
        <w:shd w:val="clear" w:color="auto" w:fill="FFFFFF"/>
        <w:spacing w:after="300" w:line="240" w:lineRule="auto"/>
        <w:ind w:left="0"/>
        <w:jc w:val="both"/>
        <w:rPr>
          <w:rFonts w:ascii="Garamond" w:eastAsia="Times New Roman" w:hAnsi="Garamond" w:cs="Arial"/>
          <w:color w:val="222222"/>
          <w:sz w:val="20"/>
          <w:szCs w:val="20"/>
          <w:lang w:val="es-UY" w:eastAsia="es-US"/>
        </w:rPr>
      </w:pPr>
      <w:r w:rsidRPr="005A7A5E">
        <w:rPr>
          <w:rFonts w:ascii="Garamond" w:eastAsia="Times New Roman" w:hAnsi="Garamond" w:cs="Arial"/>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b/>
          <w:bCs/>
          <w:color w:val="222222"/>
          <w:sz w:val="20"/>
          <w:szCs w:val="20"/>
          <w:u w:val="single"/>
          <w:lang w:eastAsia="es-US"/>
        </w:rPr>
        <w:t>EJEMPLO DE CONTRATO DE SOCIEDAD DE RESPONSABILIDAD LIMITADA.</w:t>
      </w:r>
      <w:r w:rsidRPr="005A7A5E">
        <w:rPr>
          <w:rFonts w:ascii="Garamond" w:eastAsia="Times New Roman" w:hAnsi="Garamond" w:cs="Arial"/>
          <w:b/>
          <w:bCs/>
          <w:color w:val="222222"/>
          <w:sz w:val="20"/>
          <w:szCs w:val="20"/>
          <w:u w:val="single"/>
          <w:lang w:eastAsia="es-US"/>
        </w:rPr>
        <w:br/>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PRIMERO. (Denominación) La naturaleza de la sociedad será de responsabilidad limitada, para la que adoptan la denominación </w:t>
      </w:r>
      <w:r w:rsidR="00A00BEF" w:rsidRPr="005A7A5E">
        <w:rPr>
          <w:rFonts w:ascii="Garamond" w:eastAsia="Times New Roman" w:hAnsi="Garamond" w:cs="Arial"/>
          <w:color w:val="222222"/>
          <w:sz w:val="24"/>
          <w:szCs w:val="24"/>
          <w:lang w:eastAsia="es-US"/>
        </w:rPr>
        <w:t>de Nu-CaBuPa.SRL</w:t>
      </w:r>
      <w:r w:rsidR="00A00BEF" w:rsidRPr="005A7A5E">
        <w:rPr>
          <w:rFonts w:ascii="Garamond" w:hAnsi="Garamond" w:cs="Helvetica"/>
          <w:sz w:val="24"/>
          <w:szCs w:val="24"/>
        </w:rPr>
        <w:t xml:space="preserve">. </w:t>
      </w:r>
      <w:r w:rsidR="00A00BEF" w:rsidRPr="005A7A5E">
        <w:rPr>
          <w:rFonts w:ascii="Garamond" w:hAnsi="Garamond" w:cs="Arial"/>
          <w:sz w:val="24"/>
          <w:szCs w:val="24"/>
        </w:rPr>
        <w:t>Se regirá por la Ley 16.060, el decreto 155/010 de 24 de mayo de 2010, y demás normas acordadas</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SEGUNDO. (Domicilio) La sociedad tendrá su domicilio en el departamento de</w:t>
      </w:r>
      <w:r w:rsidR="00A00BEF" w:rsidRPr="005A7A5E">
        <w:rPr>
          <w:rFonts w:ascii="Garamond" w:eastAsia="Times New Roman" w:hAnsi="Garamond" w:cs="Arial"/>
          <w:color w:val="222222"/>
          <w:sz w:val="24"/>
          <w:szCs w:val="24"/>
          <w:lang w:eastAsia="es-US"/>
        </w:rPr>
        <w:t xml:space="preserve"> Salto</w:t>
      </w:r>
      <w:r w:rsidRPr="005A7A5E">
        <w:rPr>
          <w:rFonts w:ascii="Garamond" w:eastAsia="Times New Roman" w:hAnsi="Garamond" w:cs="Arial"/>
          <w:color w:val="222222"/>
          <w:sz w:val="24"/>
          <w:szCs w:val="24"/>
          <w:lang w:eastAsia="es-US"/>
        </w:rPr>
        <w:t>, pudiendo establecer sucursales, filiales, agencias o representaciones en todo el país o en el extranjero.</w:t>
      </w:r>
      <w:r w:rsidR="00A00BEF" w:rsidRPr="005A7A5E">
        <w:rPr>
          <w:rFonts w:ascii="Garamond" w:eastAsia="Times New Roman" w:hAnsi="Garamond" w:cs="Arial"/>
          <w:color w:val="222222"/>
          <w:sz w:val="24"/>
          <w:szCs w:val="24"/>
          <w:lang w:eastAsia="es-US"/>
        </w:rPr>
        <w:t xml:space="preserve">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TERCERO. (Plazo) El plazo de du</w:t>
      </w:r>
      <w:r w:rsidR="00CE42A5" w:rsidRPr="005A7A5E">
        <w:rPr>
          <w:rFonts w:ascii="Garamond" w:eastAsia="Times New Roman" w:hAnsi="Garamond" w:cs="Arial"/>
          <w:color w:val="222222"/>
          <w:sz w:val="24"/>
          <w:szCs w:val="24"/>
          <w:lang w:eastAsia="es-US"/>
        </w:rPr>
        <w:t>ración de la sociedad será de 8</w:t>
      </w:r>
      <w:r w:rsidRPr="005A7A5E">
        <w:rPr>
          <w:rFonts w:ascii="Garamond" w:eastAsia="Times New Roman" w:hAnsi="Garamond" w:cs="Arial"/>
          <w:color w:val="222222"/>
          <w:sz w:val="24"/>
          <w:szCs w:val="24"/>
          <w:lang w:eastAsia="es-US"/>
        </w:rPr>
        <w:t xml:space="preserve"> años a contar de hoy, no obstante, cada año, a contar desde hoy, cualesquiera de los socios podrá hacer uso del derecho de renuncia, debiendo en tal caso hacer saber su decisión con una anticipación no menor de </w:t>
      </w:r>
      <w:r w:rsidRPr="005A7A5E">
        <w:rPr>
          <w:rFonts w:ascii="Garamond" w:eastAsia="Times New Roman" w:hAnsi="Garamond" w:cs="Arial"/>
          <w:color w:val="222222"/>
          <w:sz w:val="24"/>
          <w:szCs w:val="24"/>
          <w:lang w:eastAsia="es-US"/>
        </w:rPr>
        <w:lastRenderedPageBreak/>
        <w:t>tres meses al vencimiento del período respectivo, a los demás socios por telegrama colacionado.</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CUARTO. </w:t>
      </w:r>
      <w:r w:rsidR="00A00BEF" w:rsidRPr="005A7A5E">
        <w:rPr>
          <w:rFonts w:ascii="Garamond" w:eastAsia="Times New Roman" w:hAnsi="Garamond" w:cs="Arial"/>
          <w:color w:val="222222"/>
          <w:sz w:val="24"/>
          <w:szCs w:val="24"/>
          <w:lang w:eastAsia="es-US"/>
        </w:rPr>
        <w:t>(Objeto</w:t>
      </w:r>
      <w:r w:rsidRPr="005A7A5E">
        <w:rPr>
          <w:rFonts w:ascii="Garamond" w:eastAsia="Times New Roman" w:hAnsi="Garamond" w:cs="Arial"/>
          <w:color w:val="222222"/>
          <w:sz w:val="24"/>
          <w:szCs w:val="24"/>
          <w:lang w:eastAsia="es-US"/>
        </w:rPr>
        <w:t>) La sociedad tendrá por objeto la realización de la siguiente actividad: A)</w:t>
      </w:r>
      <w:r w:rsidR="0030799D">
        <w:rPr>
          <w:rFonts w:ascii="Garamond" w:eastAsia="Times New Roman" w:hAnsi="Garamond" w:cs="Arial"/>
          <w:color w:val="222222"/>
          <w:sz w:val="24"/>
          <w:szCs w:val="24"/>
          <w:lang w:eastAsia="es-US"/>
        </w:rPr>
        <w:t xml:space="preserve"> Desarrollo de Software</w:t>
      </w:r>
      <w:r w:rsidRPr="005A7A5E">
        <w:rPr>
          <w:rFonts w:ascii="Garamond" w:eastAsia="Times New Roman" w:hAnsi="Garamond" w:cs="Arial"/>
          <w:color w:val="222222"/>
          <w:sz w:val="24"/>
          <w:szCs w:val="24"/>
          <w:lang w:eastAsia="es-US"/>
        </w:rPr>
        <w:t>. B)</w:t>
      </w:r>
      <w:r w:rsidR="0030799D">
        <w:rPr>
          <w:rFonts w:ascii="Garamond" w:eastAsia="Times New Roman" w:hAnsi="Garamond" w:cs="Arial"/>
          <w:color w:val="222222"/>
          <w:sz w:val="24"/>
          <w:szCs w:val="24"/>
          <w:lang w:eastAsia="es-US"/>
        </w:rPr>
        <w:t xml:space="preserve"> Gestión, administración, soporte de los productos desarrollados por nuestra empresa; C) Ayuda técnica con el uso del sistema informático</w:t>
      </w:r>
      <w:r w:rsidRPr="005A7A5E">
        <w:rPr>
          <w:rFonts w:ascii="Garamond" w:eastAsia="Times New Roman" w:hAnsi="Garamond" w:cs="Arial"/>
          <w:color w:val="222222"/>
          <w:sz w:val="24"/>
          <w:szCs w:val="24"/>
          <w:lang w:eastAsia="es-US"/>
        </w:rPr>
        <w:t xml:space="preserve">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w:t>
      </w:r>
      <w:r w:rsidR="0030799D">
        <w:rPr>
          <w:rFonts w:ascii="Garamond" w:eastAsia="Times New Roman" w:hAnsi="Garamond" w:cs="Arial"/>
          <w:color w:val="222222"/>
          <w:sz w:val="24"/>
          <w:szCs w:val="24"/>
          <w:lang w:eastAsia="es-US"/>
        </w:rPr>
        <w:t>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w:t>
      </w:r>
      <w:r w:rsidR="00596E4A">
        <w:rPr>
          <w:rFonts w:ascii="Garamond" w:eastAsia="Times New Roman" w:hAnsi="Garamond" w:cs="Arial"/>
          <w:color w:val="222222"/>
          <w:sz w:val="24"/>
          <w:szCs w:val="24"/>
          <w:lang w:eastAsia="es-US"/>
        </w:rPr>
        <w:t>-psicológico-filosófico-matemático; H) Instalación y obtención de software relacionado a herramientas de edición de texto.</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QUINTO. (Capital) El capital de la sociedad se fija en la suma de $</w:t>
      </w:r>
      <w:r w:rsidR="00CE42A5" w:rsidRPr="005A7A5E">
        <w:rPr>
          <w:rFonts w:ascii="Garamond" w:eastAsia="Times New Roman" w:hAnsi="Garamond" w:cs="Arial"/>
          <w:color w:val="222222"/>
          <w:sz w:val="24"/>
          <w:szCs w:val="24"/>
          <w:lang w:eastAsia="es-US"/>
        </w:rPr>
        <w:t>72.160</w:t>
      </w:r>
      <w:r w:rsidRPr="005A7A5E">
        <w:rPr>
          <w:rFonts w:ascii="Garamond" w:eastAsia="Times New Roman" w:hAnsi="Garamond" w:cs="Arial"/>
          <w:color w:val="222222"/>
          <w:sz w:val="24"/>
          <w:szCs w:val="24"/>
          <w:lang w:eastAsia="es-US"/>
        </w:rPr>
        <w:t xml:space="preserve"> (pesos uruguayos que </w:t>
      </w:r>
      <w:r w:rsidR="0030799D" w:rsidRPr="005A7A5E">
        <w:rPr>
          <w:rFonts w:ascii="Garamond" w:eastAsia="Times New Roman" w:hAnsi="Garamond" w:cs="Arial"/>
          <w:color w:val="222222"/>
          <w:sz w:val="24"/>
          <w:szCs w:val="24"/>
          <w:lang w:eastAsia="es-US"/>
        </w:rPr>
        <w:t>quedan</w:t>
      </w:r>
      <w:r w:rsidRPr="005A7A5E">
        <w:rPr>
          <w:rFonts w:ascii="Garamond" w:eastAsia="Times New Roman" w:hAnsi="Garamond" w:cs="Arial"/>
          <w:color w:val="222222"/>
          <w:sz w:val="24"/>
          <w:szCs w:val="24"/>
          <w:lang w:eastAsia="es-US"/>
        </w:rPr>
        <w:t xml:space="preserve"> </w:t>
      </w:r>
      <w:r w:rsidR="0030799D" w:rsidRPr="005A7A5E">
        <w:rPr>
          <w:rFonts w:ascii="Garamond" w:eastAsia="Times New Roman" w:hAnsi="Garamond" w:cs="Arial"/>
          <w:color w:val="222222"/>
          <w:sz w:val="24"/>
          <w:szCs w:val="24"/>
          <w:lang w:eastAsia="es-US"/>
        </w:rPr>
        <w:t>divididos</w:t>
      </w:r>
      <w:r w:rsidRPr="005A7A5E">
        <w:rPr>
          <w:rFonts w:ascii="Garamond" w:eastAsia="Times New Roman" w:hAnsi="Garamond" w:cs="Arial"/>
          <w:color w:val="222222"/>
          <w:sz w:val="24"/>
          <w:szCs w:val="24"/>
          <w:lang w:eastAsia="es-US"/>
        </w:rPr>
        <w:t xml:space="preserve"> en</w:t>
      </w:r>
      <w:r w:rsidR="00CE42A5" w:rsidRPr="005A7A5E">
        <w:rPr>
          <w:rFonts w:ascii="Garamond" w:eastAsia="Times New Roman" w:hAnsi="Garamond" w:cs="Arial"/>
          <w:color w:val="222222"/>
          <w:sz w:val="24"/>
          <w:szCs w:val="24"/>
          <w:lang w:eastAsia="es-US"/>
        </w:rPr>
        <w:t xml:space="preserve"> 10 cuotas)</w:t>
      </w:r>
    </w:p>
    <w:p w:rsidR="004C5C82" w:rsidRPr="005A7A5E" w:rsidRDefault="00A00BEF"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Cuotas</w:t>
      </w:r>
      <w:r w:rsidR="004C5C82" w:rsidRPr="005A7A5E">
        <w:rPr>
          <w:rFonts w:ascii="Garamond" w:eastAsia="Times New Roman" w:hAnsi="Garamond" w:cs="Arial"/>
          <w:color w:val="222222"/>
          <w:sz w:val="24"/>
          <w:szCs w:val="24"/>
          <w:lang w:eastAsia="es-US"/>
        </w:rPr>
        <w:t xml:space="preserve"> de $</w:t>
      </w:r>
      <w:r w:rsidR="00CE42A5" w:rsidRPr="005A7A5E">
        <w:rPr>
          <w:rFonts w:ascii="Garamond" w:eastAsia="Times New Roman" w:hAnsi="Garamond" w:cs="Arial"/>
          <w:color w:val="222222"/>
          <w:sz w:val="24"/>
          <w:szCs w:val="24"/>
          <w:lang w:eastAsia="es-US"/>
        </w:rPr>
        <w:t>7.216</w:t>
      </w:r>
      <w:r w:rsidR="004C5C82" w:rsidRPr="005A7A5E">
        <w:rPr>
          <w:rFonts w:ascii="Garamond" w:eastAsia="Times New Roman" w:hAnsi="Garamond" w:cs="Arial"/>
          <w:color w:val="222222"/>
          <w:sz w:val="24"/>
          <w:szCs w:val="24"/>
          <w:lang w:eastAsia="es-US"/>
        </w:rPr>
        <w:t xml:space="preserve"> cada una, correspondiéndole a los socios Sres.</w:t>
      </w:r>
    </w:p>
    <w:p w:rsidR="004C5C82" w:rsidRPr="005A7A5E" w:rsidRDefault="00A00BEF"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Equivalentes</w:t>
      </w:r>
      <w:r w:rsidR="004C5C82" w:rsidRPr="005A7A5E">
        <w:rPr>
          <w:rFonts w:ascii="Garamond" w:eastAsia="Times New Roman" w:hAnsi="Garamond" w:cs="Arial"/>
          <w:color w:val="222222"/>
          <w:sz w:val="24"/>
          <w:szCs w:val="24"/>
          <w:lang w:eastAsia="es-US"/>
        </w:rPr>
        <w:t xml:space="preserve"> a</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w:t>
      </w:r>
      <w:r w:rsidR="00CE42A5" w:rsidRPr="005A7A5E">
        <w:rPr>
          <w:rFonts w:ascii="Garamond" w:eastAsia="Times New Roman" w:hAnsi="Garamond" w:cs="Arial"/>
          <w:color w:val="222222"/>
          <w:sz w:val="24"/>
          <w:szCs w:val="24"/>
          <w:lang w:eastAsia="es-US"/>
        </w:rPr>
        <w:t>epresentación de la sociedad.</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SEPTIMO. (Calidad de los socios) La responsabilidad de los socios quedará limitada a la cantidad o cantidades estipuladas como aporte de capital en el contrato social.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OCTAVO. (Administración) La administración de la sociedad y el uso de la firma social, con las más amplias facultades y con el ejercicio de la representación de la empresa </w:t>
      </w:r>
      <w:r w:rsidR="00CE42A5" w:rsidRPr="005A7A5E">
        <w:rPr>
          <w:rFonts w:ascii="Garamond" w:eastAsia="Times New Roman" w:hAnsi="Garamond" w:cs="Arial"/>
          <w:color w:val="222222"/>
          <w:sz w:val="24"/>
          <w:szCs w:val="24"/>
          <w:lang w:eastAsia="es-US"/>
        </w:rPr>
        <w:t>estarán</w:t>
      </w:r>
      <w:r w:rsidRPr="005A7A5E">
        <w:rPr>
          <w:rFonts w:ascii="Garamond" w:eastAsia="Times New Roman" w:hAnsi="Garamond" w:cs="Arial"/>
          <w:color w:val="222222"/>
          <w:sz w:val="24"/>
          <w:szCs w:val="24"/>
          <w:lang w:eastAsia="es-US"/>
        </w:rPr>
        <w:t xml:space="preserve"> a cargo de </w:t>
      </w:r>
      <w:r w:rsidR="00CE42A5" w:rsidRPr="005A7A5E">
        <w:rPr>
          <w:rFonts w:ascii="Garamond" w:eastAsia="Times New Roman" w:hAnsi="Garamond" w:cs="Arial"/>
          <w:color w:val="222222"/>
          <w:sz w:val="24"/>
          <w:szCs w:val="24"/>
          <w:lang w:eastAsia="es-US"/>
        </w:rPr>
        <w:t>cualquiera</w:t>
      </w:r>
      <w:r w:rsidRPr="005A7A5E">
        <w:rPr>
          <w:rFonts w:ascii="Garamond" w:eastAsia="Times New Roman" w:hAnsi="Garamond" w:cs="Arial"/>
          <w:color w:val="222222"/>
          <w:sz w:val="24"/>
          <w:szCs w:val="24"/>
          <w:lang w:eastAsia="es-US"/>
        </w:rPr>
        <w:t xml:space="preserve">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w:t>
      </w:r>
      <w:r w:rsidRPr="005A7A5E">
        <w:rPr>
          <w:rFonts w:ascii="Garamond" w:eastAsia="Times New Roman" w:hAnsi="Garamond" w:cs="Arial"/>
          <w:color w:val="222222"/>
          <w:sz w:val="24"/>
          <w:szCs w:val="24"/>
          <w:lang w:eastAsia="es-US"/>
        </w:rPr>
        <w:lastRenderedPageBreak/>
        <w:t>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(Fondo de reserva.) De las ganancias líquidas de cada ejercicio se deducirá un diez por ciento (10%) para formar un fondo de reserva, hasta que éste alcance un cien por ciento (100%) del capital social. ———————————————————————————–</w:t>
      </w:r>
    </w:p>
    <w:p w:rsidR="00CE42A5"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SEGUNDO. En caso de ausencia, fallecimiento o incapacidad de cualquiera de los socios, la sociedad continuará entre los demás socios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CE42A5"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w:t>
      </w:r>
      <w:r w:rsidRPr="005A7A5E">
        <w:rPr>
          <w:rFonts w:ascii="Garamond" w:eastAsia="Times New Roman" w:hAnsi="Garamond" w:cs="Arial"/>
          <w:color w:val="222222"/>
          <w:sz w:val="24"/>
          <w:szCs w:val="24"/>
          <w:lang w:eastAsia="es-US"/>
        </w:rPr>
        <w:lastRenderedPageBreak/>
        <w:t>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 xml:space="preserve">——————————————————————————–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QUINTO. Los socios podrán por unanimidad, fijarse remuneraciones en calidad de sueldo y otros conceptos, así como autorizar retiros a cuenta de utilidades con débito a sus respectivas cuentas.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w:t>
      </w:r>
      <w:r w:rsidR="00CE42A5" w:rsidRPr="005A7A5E">
        <w:rPr>
          <w:rFonts w:ascii="Garamond" w:eastAsia="Times New Roman" w:hAnsi="Garamond" w:cs="Arial"/>
          <w:color w:val="222222"/>
          <w:sz w:val="24"/>
          <w:szCs w:val="24"/>
          <w:lang w:eastAsia="es-US"/>
        </w:rPr>
        <w:t>de</w:t>
      </w:r>
      <w:r w:rsidRPr="005A7A5E">
        <w:rPr>
          <w:rFonts w:ascii="Garamond" w:eastAsia="Times New Roman" w:hAnsi="Garamond" w:cs="Arial"/>
          <w:color w:val="222222"/>
          <w:sz w:val="24"/>
          <w:szCs w:val="24"/>
          <w:lang w:eastAsia="es-US"/>
        </w:rPr>
        <w:t xml:space="preserve"> los socios que representen la mayoría del capital social, correspondiéndoles a tales efectos un voto por cuota social.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OCTAVO. Queda prohibido a la sociedad constituirse fiadora de los socios y de terceras personas.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w:t>
      </w:r>
      <w:r w:rsidRPr="005A7A5E">
        <w:rPr>
          <w:rFonts w:ascii="Garamond" w:eastAsia="Times New Roman" w:hAnsi="Garamond" w:cs="Arial"/>
          <w:color w:val="222222"/>
          <w:sz w:val="24"/>
          <w:szCs w:val="24"/>
          <w:lang w:eastAsia="es-US"/>
        </w:rPr>
        <w:lastRenderedPageBreak/>
        <w:t>conjuntamente con el capital.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4C5C82" w:rsidRPr="005A7A5E" w:rsidRDefault="004C5C82" w:rsidP="005A7A5E">
      <w:pPr>
        <w:shd w:val="clear" w:color="auto" w:fill="FFFFFF"/>
        <w:spacing w:after="300" w:line="240" w:lineRule="auto"/>
        <w:jc w:val="both"/>
        <w:rPr>
          <w:rFonts w:ascii="Garamond" w:eastAsia="Times New Roman" w:hAnsi="Garamond" w:cs="Arial"/>
          <w:color w:val="222222"/>
          <w:sz w:val="24"/>
          <w:szCs w:val="24"/>
          <w:lang w:eastAsia="es-US"/>
        </w:rPr>
      </w:pPr>
      <w:r w:rsidRPr="005A7A5E">
        <w:rPr>
          <w:rFonts w:ascii="Garamond" w:eastAsia="Times New Roman" w:hAnsi="Garamond" w:cs="Arial"/>
          <w:color w:val="222222"/>
          <w:sz w:val="24"/>
          <w:szCs w:val="24"/>
          <w:lang w:eastAsia="es-US"/>
        </w:rPr>
        <w:t>VIGESIMO SEGUNDO. En todo lo que no estuviere previsto en este contrato se aplicarán las disposiciones de la ley 16.060 sección IV, “De las sociedades de responsabilidad limitadas” y sus concordantes</w:t>
      </w:r>
      <w:proofErr w:type="gramStart"/>
      <w:r w:rsidRPr="005A7A5E">
        <w:rPr>
          <w:rFonts w:ascii="Garamond" w:eastAsia="Times New Roman" w:hAnsi="Garamond" w:cs="Arial"/>
          <w:color w:val="222222"/>
          <w:sz w:val="24"/>
          <w:szCs w:val="24"/>
          <w:lang w:eastAsia="es-US"/>
        </w:rPr>
        <w:t>.—</w:t>
      </w:r>
      <w:proofErr w:type="gramEnd"/>
      <w:r w:rsidRPr="005A7A5E">
        <w:rPr>
          <w:rFonts w:ascii="Garamond" w:eastAsia="Times New Roman" w:hAnsi="Garamond" w:cs="Arial"/>
          <w:color w:val="222222"/>
          <w:sz w:val="24"/>
          <w:szCs w:val="24"/>
          <w:lang w:eastAsia="es-US"/>
        </w:rPr>
        <w:t>——</w:t>
      </w:r>
    </w:p>
    <w:p w:rsidR="004C5C82" w:rsidRDefault="004C5C82"/>
    <w:sectPr w:rsidR="004C5C82" w:rsidSect="005B379E">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F53626"/>
    <w:multiLevelType w:val="multilevel"/>
    <w:tmpl w:val="F86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5C82"/>
    <w:rsid w:val="0030799D"/>
    <w:rsid w:val="004C5C82"/>
    <w:rsid w:val="00596E4A"/>
    <w:rsid w:val="005A7A5E"/>
    <w:rsid w:val="005B379E"/>
    <w:rsid w:val="00A00BEF"/>
    <w:rsid w:val="00CE42A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79E"/>
  </w:style>
  <w:style w:type="paragraph" w:styleId="Ttulo1">
    <w:name w:val="heading 1"/>
    <w:basedOn w:val="Normal"/>
    <w:link w:val="Ttulo1Car"/>
    <w:uiPriority w:val="9"/>
    <w:qFormat/>
    <w:rsid w:val="004C5C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C82"/>
    <w:rPr>
      <w:rFonts w:ascii="Times New Roman" w:eastAsia="Times New Roman" w:hAnsi="Times New Roman" w:cs="Times New Roman"/>
      <w:b/>
      <w:bCs/>
      <w:kern w:val="36"/>
      <w:sz w:val="48"/>
      <w:szCs w:val="48"/>
      <w:lang w:eastAsia="es-US"/>
    </w:rPr>
  </w:style>
  <w:style w:type="paragraph" w:styleId="NormalWeb">
    <w:name w:val="Normal (Web)"/>
    <w:basedOn w:val="Normal"/>
    <w:uiPriority w:val="99"/>
    <w:semiHidden/>
    <w:unhideWhenUsed/>
    <w:rsid w:val="004C5C82"/>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r="http://schemas.openxmlformats.org/officeDocument/2006/relationships" xmlns:w="http://schemas.openxmlformats.org/wordprocessingml/2006/main">
  <w:divs>
    <w:div w:id="2110467076">
      <w:bodyDiv w:val="1"/>
      <w:marLeft w:val="0"/>
      <w:marRight w:val="0"/>
      <w:marTop w:val="0"/>
      <w:marBottom w:val="0"/>
      <w:divBdr>
        <w:top w:val="none" w:sz="0" w:space="0" w:color="auto"/>
        <w:left w:val="none" w:sz="0" w:space="0" w:color="auto"/>
        <w:bottom w:val="none" w:sz="0" w:space="0" w:color="auto"/>
        <w:right w:val="none" w:sz="0" w:space="0" w:color="auto"/>
      </w:divBdr>
      <w:divsChild>
        <w:div w:id="903949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1963</Words>
  <Characters>10802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Buslon</dc:creator>
  <cp:keywords/>
  <dc:description/>
  <cp:lastModifiedBy>Usuario</cp:lastModifiedBy>
  <cp:revision>4</cp:revision>
  <dcterms:created xsi:type="dcterms:W3CDTF">2020-06-12T16:39:00Z</dcterms:created>
  <dcterms:modified xsi:type="dcterms:W3CDTF">2020-06-12T23:25:00Z</dcterms:modified>
</cp:coreProperties>
</file>