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-705" w:tblpY="1411"/>
        <w:tblW w:w="101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275"/>
        <w:gridCol w:w="105"/>
        <w:gridCol w:w="3750"/>
        <w:gridCol w:w="255"/>
        <w:gridCol w:w="1335"/>
        <w:gridCol w:w="1545"/>
        <w:tblGridChange w:id="0">
          <w:tblGrid>
            <w:gridCol w:w="1875"/>
            <w:gridCol w:w="1275"/>
            <w:gridCol w:w="105"/>
            <w:gridCol w:w="3750"/>
            <w:gridCol w:w="255"/>
            <w:gridCol w:w="1335"/>
            <w:gridCol w:w="1545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Técnica Vehicular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inspección técnica de un vehículo con el cobro correspondiente del servicio.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Titular con su respectivo vehículo.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Vehículo revisado con su oblea e informe de inspección.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 del Proceso e insumos que brinda cada uno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Mantenimiento de Software.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Mantenimiento de Maquinarias.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Capacitación de personal.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 de insumos.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Compra de Obleas.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Informático que se utiliza en el proceso.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Maquinarias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condiciones para realizar la verificación.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Instructores capacitados.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Insumos necesarios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Obleas. 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Humanos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Materiales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Inspectores.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 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Cajero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de recepción.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Terrenos y edificios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Equipos y máquinas de inspección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Caja registradora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Formulario, registro e información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Formularios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Informe detallado que se le entrega al cliente.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Comprobante primera Revisión.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Oblea de habilitación.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Comprobante de pago.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municipal de inspecciones realizadas.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cliente.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vehículo.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 de inspección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 para pagar.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Tarifas.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Almacenamiento de 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 vehículo con inspecciones realizadas y su respectivo resultado.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municipal de inspecciones realizadas. </w:t>
            </w:r>
          </w:p>
        </w:tc>
      </w:tr>
      <w:tr>
        <w:trPr>
          <w:cantSplit w:val="0"/>
          <w:trHeight w:val="2008.828125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realizar la VTV el titular del vehículo debe ser quien se presente a la planta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En caso de que se detecten defectos leves se dispone de 60 días para abordar las reparaciones necesarias.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caso de que la inspección sea rechazada se establece un plazo de un día para resolver la situación.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acceder a la inspección el dueño del vehículo necesita la documentación correspondiente.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vehículo debe pasar las tres líneas.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Ley de facturación impuesta por AFIP.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actividades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Listado de actividades en BPMN.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eeece1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Procesos de Negocio identificados: </w:t>
      </w:r>
    </w:p>
    <w:p w:rsidR="00000000" w:rsidDel="00000000" w:rsidP="00000000" w:rsidRDefault="00000000" w:rsidRPr="00000000" w14:paraId="000000C6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Procesos Estratégicos: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definición de áreas: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 en detallar las áreas y secciones especializadas para el recorrido del vehículo en el periodo de revisión vehicular.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definición de tarifas: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se encarga de establecer las tarifas que se cobrarán por los servicios de verificación técnica vehicular, considerando costos operativos y regulaciones.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definición de nuevas maquinarias: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identifica qué maquinarias son necesarias para el buen desarrollo de las revisiones vehiculares. 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definición de requisitos para la habilitación vehicular: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establece los criterios y estándares que deben cumplir los vehículos para ser considerados aptos para su circulación,según las normativas vigentes.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Procesos Centrales: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Verificación Técnica Vehicular: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Consiste en realizar la inspección técnica a un vehículo, con su respectivo cobro, para finalmente otorgar la oblea vehicular aprobada.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Gestión de Turnos: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gestiona la asignación de turnos para las inspecciones.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Reverificación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Realización de una nueva inspección después de que un vehículo haya fallado la verificación inicial y haya sido reparado.</w:t>
      </w:r>
    </w:p>
    <w:p w:rsidR="00000000" w:rsidDel="00000000" w:rsidP="00000000" w:rsidRDefault="00000000" w:rsidRPr="00000000" w14:paraId="000000D0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Procesos de Soporte: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Mantenimiento de Software: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el sistema informático funcionando eficientemente para poder realizar las actividades de la organización.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Mantenimiento de Maquinarias: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Mantener la maquinaria con la que cuenta la organización en un estado de funcionamiento óptimo.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Capacitacion de Personal: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Formar recursos humanos capacitados para realizar las distintas tareas de los procesos en los que participen.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Proceso de Compra de Insumos: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Abastecer a la organización con todos los insumos que necesita para funcionar normalmente.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9" w:w="11907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4120515</wp:posOffset>
          </wp:positionH>
          <wp:positionV relativeFrom="paragraph">
            <wp:posOffset>-249554</wp:posOffset>
          </wp:positionV>
          <wp:extent cx="2066925" cy="61341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6925" cy="613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167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A16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A167D"/>
    <w:pPr>
      <w:spacing w:after="160" w:line="259" w:lineRule="auto"/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167D"/>
  </w:style>
  <w:style w:type="paragraph" w:styleId="Footer">
    <w:name w:val="footer"/>
    <w:basedOn w:val="Normal"/>
    <w:link w:val="FooterCh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167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16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167D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9348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qjRll6+fTfQdNsYQsAgHz05fqA==">CgMxLjA4AHIhMTZ1bFpJRDd1UkljMnRNdVBFZU8xbEJHWjctQXpuNDRE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2024-05-16T20:36:00Z</dcterms:created>
  <dc:creator>Paola Simieli</dc:creator>
</cp:coreProperties>
</file>