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-705" w:tblpY="1411"/>
        <w:tblW w:w="10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275"/>
        <w:gridCol w:w="105"/>
        <w:gridCol w:w="3750"/>
        <w:gridCol w:w="255"/>
        <w:gridCol w:w="1335"/>
        <w:gridCol w:w="1545"/>
        <w:tblGridChange w:id="0">
          <w:tblGrid>
            <w:gridCol w:w="1875"/>
            <w:gridCol w:w="1275"/>
            <w:gridCol w:w="105"/>
            <w:gridCol w:w="3750"/>
            <w:gridCol w:w="255"/>
            <w:gridCol w:w="1335"/>
            <w:gridCol w:w="1545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Técnica Vehicular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la primera inspección técnica de un vehículo con el cobro correspondiente del servicio.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Titular con su respectivo vehículo.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Vehículo revisado con su oblea e informe de inspección.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 del Proceso e insumos que brinda cada uno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Mantenimiento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Mantenimiento de Maquinarias.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 de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 de insumos.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 de Obleas.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Informático que se utiliza en el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Maquinarias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condiciones para realizar la verificación.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Instructores capacitados.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Insumos necesarios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Obleas.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Humanos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Materiales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Cajero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de recepción.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Terrenos y edificios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Equipos y máquinas de inspección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Caja registradora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Formulario, registro e información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Formularios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detallado que se le entrega al cliente.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Comprobante primera Revisión.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Oblea de habilitación.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Comprobante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municipal de inspecciones realizadas.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cliente.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vehículo.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de inspección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Almacena-</w:t>
              <w:br w:type="textWrapping"/>
              <w:t xml:space="preserve">miento para pagar.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Tarifas.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 de revisión.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vehículo con inspecciones realizadas y su respectivo resultado.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municipal de inspecciones realizadas. 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realizar la VTV el titular del vehículo debe ser quien se presente a la planta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caso de que se detecten defectos leves se dispone de 60 días para abordar las reparaciones necesarias.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que la inspección sea rechazada se establece un plazo de un día para resolver la situación.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acceder a la inspección el dueño del vehículo necesita la documentación correspondiente.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vehículo debe pasar las tres secciones.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Ley de facturación impuesta por AFIP.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actividades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Listado de actividades en BPMN.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eeece1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25/08/24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objetivo, se aclaró que era la primera revisión. En reglas de negocio, se cambió la palabra “línea” por “sección”. En Registros, se agregó “Almacenamiento de Revisión” y “Pagos”.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Estefanía López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Nahuel Fruttero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4120515</wp:posOffset>
          </wp:positionH>
          <wp:positionV relativeFrom="paragraph">
            <wp:posOffset>-249552</wp:posOffset>
          </wp:positionV>
          <wp:extent cx="2066925" cy="61341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6925" cy="613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167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A16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A167D"/>
    <w:pPr>
      <w:spacing w:after="160" w:line="259" w:lineRule="auto"/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167D"/>
  </w:style>
  <w:style w:type="paragraph" w:styleId="Footer">
    <w:name w:val="footer"/>
    <w:basedOn w:val="Normal"/>
    <w:link w:val="FooterCh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167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16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167D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9348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NkIlKMV6JCeTP7I/E9PLhsKoiA==">CgMxLjA4AHIhMUM1V2xPamRZRmh2UzUzNWJiRFhBWjVOT053Y2FpeF9l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2024-05-16T20:36:00Z</dcterms:created>
  <dc:creator>Paola Simieli</dc:creator>
</cp:coreProperties>
</file>