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B1682" w14:textId="77777777" w:rsidR="00FF3B0F" w:rsidRDefault="00FF3B0F">
      <w:pPr>
        <w:spacing w:after="1200"/>
      </w:pPr>
    </w:p>
    <w:p w14:paraId="2C2B3A1E" w14:textId="77777777" w:rsidR="00FF3B0F" w:rsidRDefault="005306D5">
      <w:pPr>
        <w:spacing w:after="840"/>
        <w:jc w:val="center"/>
      </w:pPr>
      <w:r>
        <w:rPr>
          <w:b/>
          <w:color w:val="1F3B63"/>
          <w:sz w:val="26"/>
        </w:rPr>
        <w:t>INFORME DE ANÁLISIS TÉCNICO</w:t>
      </w:r>
    </w:p>
    <w:p w14:paraId="11614FEB" w14:textId="77777777" w:rsidR="00FF3B0F" w:rsidRDefault="005306D5">
      <w:pPr>
        <w:spacing w:after="160"/>
        <w:jc w:val="center"/>
      </w:pPr>
      <w:r>
        <w:rPr>
          <w:b/>
          <w:color w:val="1F3B63"/>
          <w:sz w:val="44"/>
        </w:rPr>
        <w:t>Construir o comprar una plataforma empresarial</w:t>
      </w:r>
    </w:p>
    <w:p w14:paraId="5D4394A1" w14:textId="77777777" w:rsidR="00FF3B0F" w:rsidRDefault="005306D5">
      <w:pPr>
        <w:spacing w:after="1800"/>
        <w:jc w:val="center"/>
      </w:pPr>
      <w:r>
        <w:rPr>
          <w:i/>
          <w:sz w:val="24"/>
        </w:rPr>
        <w:t>Riesgos, beneficios y consideraciones para la decisión de aprovisionamiento de software</w:t>
      </w:r>
    </w:p>
    <w:tbl>
      <w:tblPr>
        <w:tblW w:w="0" w:type="auto"/>
        <w:jc w:val="center"/>
        <w:tblLayout w:type="fixed"/>
        <w:tblLook w:val="04A0" w:firstRow="1" w:lastRow="0" w:firstColumn="1" w:lastColumn="0" w:noHBand="0" w:noVBand="1"/>
      </w:tblPr>
      <w:tblGrid>
        <w:gridCol w:w="2948"/>
        <w:gridCol w:w="3969"/>
      </w:tblGrid>
      <w:tr w:rsidR="00FF3B0F" w14:paraId="2C014FE6" w14:textId="77777777">
        <w:trPr>
          <w:jc w:val="center"/>
        </w:trPr>
        <w:tc>
          <w:tcPr>
            <w:tcW w:w="2948" w:type="dxa"/>
          </w:tcPr>
          <w:p w14:paraId="04A9CF6A" w14:textId="77777777" w:rsidR="00FF3B0F" w:rsidRDefault="005306D5">
            <w:pPr>
              <w:spacing w:after="100" w:line="240" w:lineRule="auto"/>
            </w:pPr>
            <w:r>
              <w:rPr>
                <w:b/>
              </w:rPr>
              <w:t>Elaborado por</w:t>
            </w:r>
          </w:p>
        </w:tc>
        <w:tc>
          <w:tcPr>
            <w:tcW w:w="3969" w:type="dxa"/>
          </w:tcPr>
          <w:p w14:paraId="0186D0B5" w14:textId="77777777" w:rsidR="00FF3B0F" w:rsidRDefault="005306D5">
            <w:pPr>
              <w:spacing w:after="100" w:line="240" w:lineRule="auto"/>
            </w:pPr>
            <w:r>
              <w:t>Nahuel Agustín Mosse</w:t>
            </w:r>
          </w:p>
        </w:tc>
      </w:tr>
      <w:tr w:rsidR="00FF3B0F" w14:paraId="042BABA1" w14:textId="77777777">
        <w:trPr>
          <w:jc w:val="center"/>
        </w:trPr>
        <w:tc>
          <w:tcPr>
            <w:tcW w:w="2948" w:type="dxa"/>
          </w:tcPr>
          <w:p w14:paraId="49630179" w14:textId="77777777" w:rsidR="00FF3B0F" w:rsidRDefault="005306D5">
            <w:pPr>
              <w:spacing w:after="100" w:line="240" w:lineRule="auto"/>
            </w:pPr>
            <w:r>
              <w:rPr>
                <w:b/>
              </w:rPr>
              <w:t>Revisión a cargo de</w:t>
            </w:r>
          </w:p>
        </w:tc>
        <w:tc>
          <w:tcPr>
            <w:tcW w:w="3969" w:type="dxa"/>
          </w:tcPr>
          <w:p w14:paraId="763C58E8" w14:textId="77777777" w:rsidR="00FF3B0F" w:rsidRDefault="005306D5">
            <w:pPr>
              <w:spacing w:after="100" w:line="240" w:lineRule="auto"/>
            </w:pPr>
            <w:r>
              <w:t>Diego Jorge Fernández</w:t>
            </w:r>
          </w:p>
        </w:tc>
      </w:tr>
      <w:tr w:rsidR="00FF3B0F" w14:paraId="36F7202F" w14:textId="77777777">
        <w:trPr>
          <w:jc w:val="center"/>
        </w:trPr>
        <w:tc>
          <w:tcPr>
            <w:tcW w:w="2948" w:type="dxa"/>
          </w:tcPr>
          <w:p w14:paraId="1A63EFF8" w14:textId="77777777" w:rsidR="00FF3B0F" w:rsidRDefault="005306D5">
            <w:pPr>
              <w:spacing w:after="100" w:line="240" w:lineRule="auto"/>
            </w:pPr>
            <w:r>
              <w:rPr>
                <w:b/>
              </w:rPr>
              <w:t>Institución</w:t>
            </w:r>
          </w:p>
        </w:tc>
        <w:tc>
          <w:tcPr>
            <w:tcW w:w="3969" w:type="dxa"/>
          </w:tcPr>
          <w:p w14:paraId="06F9C494" w14:textId="77777777" w:rsidR="00FF3B0F" w:rsidRDefault="005306D5">
            <w:pPr>
              <w:spacing w:after="100" w:line="240" w:lineRule="auto"/>
            </w:pPr>
            <w:r>
              <w:t>Universidad de Morón</w:t>
            </w:r>
          </w:p>
        </w:tc>
      </w:tr>
      <w:tr w:rsidR="00FF3B0F" w14:paraId="3D38D36A" w14:textId="77777777">
        <w:trPr>
          <w:jc w:val="center"/>
        </w:trPr>
        <w:tc>
          <w:tcPr>
            <w:tcW w:w="2948" w:type="dxa"/>
          </w:tcPr>
          <w:p w14:paraId="419A6A50" w14:textId="77777777" w:rsidR="00FF3B0F" w:rsidRDefault="005306D5">
            <w:pPr>
              <w:spacing w:after="100" w:line="240" w:lineRule="auto"/>
            </w:pPr>
            <w:r>
              <w:rPr>
                <w:b/>
              </w:rPr>
              <w:t>Fecha</w:t>
            </w:r>
          </w:p>
        </w:tc>
        <w:tc>
          <w:tcPr>
            <w:tcW w:w="3969" w:type="dxa"/>
          </w:tcPr>
          <w:p w14:paraId="5BED6497" w14:textId="77777777" w:rsidR="00FF3B0F" w:rsidRDefault="005306D5">
            <w:pPr>
              <w:spacing w:after="100" w:line="240" w:lineRule="auto"/>
            </w:pPr>
            <w:r>
              <w:t>3 de septiembre de 2026</w:t>
            </w:r>
          </w:p>
        </w:tc>
      </w:tr>
      <w:tr w:rsidR="00FF3B0F" w14:paraId="6E4211D9" w14:textId="77777777">
        <w:trPr>
          <w:jc w:val="center"/>
        </w:trPr>
        <w:tc>
          <w:tcPr>
            <w:tcW w:w="2948" w:type="dxa"/>
          </w:tcPr>
          <w:p w14:paraId="48136C30" w14:textId="77777777" w:rsidR="00FF3B0F" w:rsidRDefault="005306D5">
            <w:pPr>
              <w:spacing w:after="100" w:line="240" w:lineRule="auto"/>
            </w:pPr>
            <w:r>
              <w:rPr>
                <w:b/>
              </w:rPr>
              <w:t>Versión</w:t>
            </w:r>
          </w:p>
        </w:tc>
        <w:tc>
          <w:tcPr>
            <w:tcW w:w="3969" w:type="dxa"/>
          </w:tcPr>
          <w:p w14:paraId="2C2A4FBF" w14:textId="77777777" w:rsidR="00FF3B0F" w:rsidRDefault="005306D5">
            <w:pPr>
              <w:spacing w:after="100" w:line="240" w:lineRule="auto"/>
            </w:pPr>
            <w:r>
              <w:t>1.0</w:t>
            </w:r>
          </w:p>
        </w:tc>
      </w:tr>
    </w:tbl>
    <w:p w14:paraId="77B3AC43" w14:textId="77777777" w:rsidR="00FF3B0F" w:rsidRDefault="00FF3B0F">
      <w:pPr>
        <w:spacing w:after="480"/>
      </w:pPr>
    </w:p>
    <w:p w14:paraId="42E47F0D" w14:textId="77777777" w:rsidR="00FF3B0F" w:rsidRDefault="005306D5">
      <w:pPr>
        <w:jc w:val="center"/>
      </w:pPr>
      <w:r>
        <w:rPr>
          <w:i/>
          <w:sz w:val="18"/>
        </w:rPr>
        <w:t>Documento de uso interno. Análisis independiente de proveedores y productos.</w:t>
      </w:r>
    </w:p>
    <w:p w14:paraId="52EAE12D" w14:textId="77777777" w:rsidR="00FF3B0F" w:rsidRDefault="00FF3B0F">
      <w:pPr>
        <w:sectPr w:rsidR="00FF3B0F">
          <w:footerReference w:type="default" r:id="rId8"/>
          <w:pgSz w:w="11906" w:h="16838"/>
          <w:pgMar w:top="1417" w:right="1417" w:bottom="1417" w:left="1417" w:header="720" w:footer="720" w:gutter="0"/>
          <w:cols w:space="720"/>
          <w:docGrid w:linePitch="360"/>
        </w:sectPr>
      </w:pPr>
    </w:p>
    <w:p w14:paraId="17CD51D1" w14:textId="77777777" w:rsidR="00FF3B0F" w:rsidRDefault="005306D5">
      <w:pPr>
        <w:spacing w:after="240"/>
      </w:pPr>
      <w:r>
        <w:rPr>
          <w:b/>
          <w:color w:val="1F3B63"/>
          <w:sz w:val="32"/>
        </w:rPr>
        <w:lastRenderedPageBreak/>
        <w:t>Índice</w:t>
      </w:r>
    </w:p>
    <w:p w14:paraId="64B93BEC" w14:textId="7BD520BD" w:rsidR="007845E0" w:rsidRDefault="005306D5">
      <w:pPr>
        <w:pStyle w:val="TDC1"/>
        <w:tabs>
          <w:tab w:val="right" w:leader="dot" w:pos="9062"/>
        </w:tabs>
        <w:rPr>
          <w:rFonts w:asciiTheme="minorHAnsi" w:eastAsiaTheme="minorEastAsia" w:hAnsiTheme="minorHAnsi"/>
          <w:noProof/>
          <w:kern w:val="2"/>
          <w:sz w:val="24"/>
          <w:szCs w:val="24"/>
          <w:lang w:val="es-ES" w:eastAsia="es-ES"/>
          <w14:ligatures w14:val="standardContextual"/>
        </w:rPr>
      </w:pPr>
      <w:r>
        <w:fldChar w:fldCharType="begin"/>
      </w:r>
      <w:r>
        <w:instrText xml:space="preserve"> TOC \o "1-2" \h \z \u </w:instrText>
      </w:r>
      <w:r>
        <w:fldChar w:fldCharType="separate"/>
      </w:r>
      <w:hyperlink w:anchor="_Toc239258713" w:history="1">
        <w:r w:rsidR="007845E0" w:rsidRPr="00C42E2F">
          <w:rPr>
            <w:rStyle w:val="Hipervnculo"/>
            <w:noProof/>
          </w:rPr>
          <w:t>Resumen ejecutivo</w:t>
        </w:r>
        <w:r w:rsidR="007845E0">
          <w:rPr>
            <w:noProof/>
            <w:webHidden/>
          </w:rPr>
          <w:tab/>
        </w:r>
        <w:r w:rsidR="007845E0">
          <w:rPr>
            <w:noProof/>
            <w:webHidden/>
          </w:rPr>
          <w:fldChar w:fldCharType="begin"/>
        </w:r>
        <w:r w:rsidR="007845E0">
          <w:rPr>
            <w:noProof/>
            <w:webHidden/>
          </w:rPr>
          <w:instrText xml:space="preserve"> PAGEREF _Toc239258713 \h </w:instrText>
        </w:r>
        <w:r w:rsidR="007845E0">
          <w:rPr>
            <w:noProof/>
            <w:webHidden/>
          </w:rPr>
        </w:r>
        <w:r w:rsidR="007845E0">
          <w:rPr>
            <w:noProof/>
            <w:webHidden/>
          </w:rPr>
          <w:fldChar w:fldCharType="separate"/>
        </w:r>
        <w:r w:rsidR="007845E0">
          <w:rPr>
            <w:noProof/>
            <w:webHidden/>
          </w:rPr>
          <w:t>3</w:t>
        </w:r>
        <w:r w:rsidR="007845E0">
          <w:rPr>
            <w:noProof/>
            <w:webHidden/>
          </w:rPr>
          <w:fldChar w:fldCharType="end"/>
        </w:r>
      </w:hyperlink>
    </w:p>
    <w:p w14:paraId="313CC5E5" w14:textId="0AEEC118" w:rsidR="007845E0" w:rsidRDefault="007845E0">
      <w:pPr>
        <w:pStyle w:val="TDC1"/>
        <w:tabs>
          <w:tab w:val="right" w:leader="dot" w:pos="9062"/>
        </w:tabs>
        <w:rPr>
          <w:rFonts w:asciiTheme="minorHAnsi" w:eastAsiaTheme="minorEastAsia" w:hAnsiTheme="minorHAnsi"/>
          <w:noProof/>
          <w:kern w:val="2"/>
          <w:sz w:val="24"/>
          <w:szCs w:val="24"/>
          <w:lang w:val="es-ES" w:eastAsia="es-ES"/>
          <w14:ligatures w14:val="standardContextual"/>
        </w:rPr>
      </w:pPr>
      <w:hyperlink w:anchor="_Toc239258714" w:history="1">
        <w:r w:rsidRPr="00C42E2F">
          <w:rPr>
            <w:rStyle w:val="Hipervnculo"/>
            <w:noProof/>
          </w:rPr>
          <w:t>1. Objetivo y alcance</w:t>
        </w:r>
        <w:r>
          <w:rPr>
            <w:noProof/>
            <w:webHidden/>
          </w:rPr>
          <w:tab/>
        </w:r>
        <w:r>
          <w:rPr>
            <w:noProof/>
            <w:webHidden/>
          </w:rPr>
          <w:fldChar w:fldCharType="begin"/>
        </w:r>
        <w:r>
          <w:rPr>
            <w:noProof/>
            <w:webHidden/>
          </w:rPr>
          <w:instrText xml:space="preserve"> PAGEREF _Toc239258714 \h </w:instrText>
        </w:r>
        <w:r>
          <w:rPr>
            <w:noProof/>
            <w:webHidden/>
          </w:rPr>
        </w:r>
        <w:r>
          <w:rPr>
            <w:noProof/>
            <w:webHidden/>
          </w:rPr>
          <w:fldChar w:fldCharType="separate"/>
        </w:r>
        <w:r>
          <w:rPr>
            <w:noProof/>
            <w:webHidden/>
          </w:rPr>
          <w:t>4</w:t>
        </w:r>
        <w:r>
          <w:rPr>
            <w:noProof/>
            <w:webHidden/>
          </w:rPr>
          <w:fldChar w:fldCharType="end"/>
        </w:r>
      </w:hyperlink>
    </w:p>
    <w:p w14:paraId="0380B105" w14:textId="31FE6E93" w:rsidR="007845E0" w:rsidRDefault="007845E0">
      <w:pPr>
        <w:pStyle w:val="TDC1"/>
        <w:tabs>
          <w:tab w:val="right" w:leader="dot" w:pos="9062"/>
        </w:tabs>
        <w:rPr>
          <w:rFonts w:asciiTheme="minorHAnsi" w:eastAsiaTheme="minorEastAsia" w:hAnsiTheme="minorHAnsi"/>
          <w:noProof/>
          <w:kern w:val="2"/>
          <w:sz w:val="24"/>
          <w:szCs w:val="24"/>
          <w:lang w:val="es-ES" w:eastAsia="es-ES"/>
          <w14:ligatures w14:val="standardContextual"/>
        </w:rPr>
      </w:pPr>
      <w:hyperlink w:anchor="_Toc239258715" w:history="1">
        <w:r w:rsidRPr="00C42E2F">
          <w:rPr>
            <w:rStyle w:val="Hipervnculo"/>
            <w:noProof/>
          </w:rPr>
          <w:t>2. Las cuatro alternativas</w:t>
        </w:r>
        <w:r>
          <w:rPr>
            <w:noProof/>
            <w:webHidden/>
          </w:rPr>
          <w:tab/>
        </w:r>
        <w:r>
          <w:rPr>
            <w:noProof/>
            <w:webHidden/>
          </w:rPr>
          <w:fldChar w:fldCharType="begin"/>
        </w:r>
        <w:r>
          <w:rPr>
            <w:noProof/>
            <w:webHidden/>
          </w:rPr>
          <w:instrText xml:space="preserve"> PAGEREF _Toc239258715 \h </w:instrText>
        </w:r>
        <w:r>
          <w:rPr>
            <w:noProof/>
            <w:webHidden/>
          </w:rPr>
        </w:r>
        <w:r>
          <w:rPr>
            <w:noProof/>
            <w:webHidden/>
          </w:rPr>
          <w:fldChar w:fldCharType="separate"/>
        </w:r>
        <w:r>
          <w:rPr>
            <w:noProof/>
            <w:webHidden/>
          </w:rPr>
          <w:t>4</w:t>
        </w:r>
        <w:r>
          <w:rPr>
            <w:noProof/>
            <w:webHidden/>
          </w:rPr>
          <w:fldChar w:fldCharType="end"/>
        </w:r>
      </w:hyperlink>
    </w:p>
    <w:p w14:paraId="7B13C396" w14:textId="4A7C013A" w:rsidR="007845E0" w:rsidRDefault="007845E0">
      <w:pPr>
        <w:pStyle w:val="TDC1"/>
        <w:tabs>
          <w:tab w:val="right" w:leader="dot" w:pos="9062"/>
        </w:tabs>
        <w:rPr>
          <w:rFonts w:asciiTheme="minorHAnsi" w:eastAsiaTheme="minorEastAsia" w:hAnsiTheme="minorHAnsi"/>
          <w:noProof/>
          <w:kern w:val="2"/>
          <w:sz w:val="24"/>
          <w:szCs w:val="24"/>
          <w:lang w:val="es-ES" w:eastAsia="es-ES"/>
          <w14:ligatures w14:val="standardContextual"/>
        </w:rPr>
      </w:pPr>
      <w:hyperlink w:anchor="_Toc239258716" w:history="1">
        <w:r w:rsidRPr="00C42E2F">
          <w:rPr>
            <w:rStyle w:val="Hipervnculo"/>
            <w:noProof/>
          </w:rPr>
          <w:t>3. Matriz de veredictos</w:t>
        </w:r>
        <w:r>
          <w:rPr>
            <w:noProof/>
            <w:webHidden/>
          </w:rPr>
          <w:tab/>
        </w:r>
        <w:r>
          <w:rPr>
            <w:noProof/>
            <w:webHidden/>
          </w:rPr>
          <w:fldChar w:fldCharType="begin"/>
        </w:r>
        <w:r>
          <w:rPr>
            <w:noProof/>
            <w:webHidden/>
          </w:rPr>
          <w:instrText xml:space="preserve"> PAGEREF _Toc239258716 \h </w:instrText>
        </w:r>
        <w:r>
          <w:rPr>
            <w:noProof/>
            <w:webHidden/>
          </w:rPr>
        </w:r>
        <w:r>
          <w:rPr>
            <w:noProof/>
            <w:webHidden/>
          </w:rPr>
          <w:fldChar w:fldCharType="separate"/>
        </w:r>
        <w:r>
          <w:rPr>
            <w:noProof/>
            <w:webHidden/>
          </w:rPr>
          <w:t>5</w:t>
        </w:r>
        <w:r>
          <w:rPr>
            <w:noProof/>
            <w:webHidden/>
          </w:rPr>
          <w:fldChar w:fldCharType="end"/>
        </w:r>
      </w:hyperlink>
    </w:p>
    <w:p w14:paraId="4043493A" w14:textId="6B060DE9" w:rsidR="007845E0" w:rsidRDefault="007845E0">
      <w:pPr>
        <w:pStyle w:val="TDC1"/>
        <w:tabs>
          <w:tab w:val="right" w:leader="dot" w:pos="9062"/>
        </w:tabs>
        <w:rPr>
          <w:rFonts w:asciiTheme="minorHAnsi" w:eastAsiaTheme="minorEastAsia" w:hAnsiTheme="minorHAnsi"/>
          <w:noProof/>
          <w:kern w:val="2"/>
          <w:sz w:val="24"/>
          <w:szCs w:val="24"/>
          <w:lang w:val="es-ES" w:eastAsia="es-ES"/>
          <w14:ligatures w14:val="standardContextual"/>
        </w:rPr>
      </w:pPr>
      <w:hyperlink w:anchor="_Toc239258717" w:history="1">
        <w:r w:rsidRPr="00C42E2F">
          <w:rPr>
            <w:rStyle w:val="Hipervnculo"/>
            <w:noProof/>
          </w:rPr>
          <w:t>4. Análisis por categoría</w:t>
        </w:r>
        <w:r>
          <w:rPr>
            <w:noProof/>
            <w:webHidden/>
          </w:rPr>
          <w:tab/>
        </w:r>
        <w:r>
          <w:rPr>
            <w:noProof/>
            <w:webHidden/>
          </w:rPr>
          <w:fldChar w:fldCharType="begin"/>
        </w:r>
        <w:r>
          <w:rPr>
            <w:noProof/>
            <w:webHidden/>
          </w:rPr>
          <w:instrText xml:space="preserve"> PAGEREF _Toc239258717 \h </w:instrText>
        </w:r>
        <w:r>
          <w:rPr>
            <w:noProof/>
            <w:webHidden/>
          </w:rPr>
        </w:r>
        <w:r>
          <w:rPr>
            <w:noProof/>
            <w:webHidden/>
          </w:rPr>
          <w:fldChar w:fldCharType="separate"/>
        </w:r>
        <w:r>
          <w:rPr>
            <w:noProof/>
            <w:webHidden/>
          </w:rPr>
          <w:t>7</w:t>
        </w:r>
        <w:r>
          <w:rPr>
            <w:noProof/>
            <w:webHidden/>
          </w:rPr>
          <w:fldChar w:fldCharType="end"/>
        </w:r>
      </w:hyperlink>
    </w:p>
    <w:p w14:paraId="705D1A19" w14:textId="4799D0F6" w:rsidR="007845E0" w:rsidRDefault="007845E0">
      <w:pPr>
        <w:pStyle w:val="TDC2"/>
        <w:tabs>
          <w:tab w:val="right" w:leader="dot" w:pos="9062"/>
        </w:tabs>
        <w:rPr>
          <w:rFonts w:asciiTheme="minorHAnsi" w:eastAsiaTheme="minorEastAsia" w:hAnsiTheme="minorHAnsi"/>
          <w:noProof/>
          <w:kern w:val="2"/>
          <w:sz w:val="24"/>
          <w:szCs w:val="24"/>
          <w:lang w:val="es-ES" w:eastAsia="es-ES"/>
          <w14:ligatures w14:val="standardContextual"/>
        </w:rPr>
      </w:pPr>
      <w:hyperlink w:anchor="_Toc239258718" w:history="1">
        <w:r w:rsidRPr="00C42E2F">
          <w:rPr>
            <w:rStyle w:val="Hipervnculo"/>
            <w:noProof/>
          </w:rPr>
          <w:t>4.1 Funcionalidad</w:t>
        </w:r>
        <w:r>
          <w:rPr>
            <w:noProof/>
            <w:webHidden/>
          </w:rPr>
          <w:tab/>
        </w:r>
        <w:r>
          <w:rPr>
            <w:noProof/>
            <w:webHidden/>
          </w:rPr>
          <w:fldChar w:fldCharType="begin"/>
        </w:r>
        <w:r>
          <w:rPr>
            <w:noProof/>
            <w:webHidden/>
          </w:rPr>
          <w:instrText xml:space="preserve"> PAGEREF _Toc239258718 \h </w:instrText>
        </w:r>
        <w:r>
          <w:rPr>
            <w:noProof/>
            <w:webHidden/>
          </w:rPr>
        </w:r>
        <w:r>
          <w:rPr>
            <w:noProof/>
            <w:webHidden/>
          </w:rPr>
          <w:fldChar w:fldCharType="separate"/>
        </w:r>
        <w:r>
          <w:rPr>
            <w:noProof/>
            <w:webHidden/>
          </w:rPr>
          <w:t>7</w:t>
        </w:r>
        <w:r>
          <w:rPr>
            <w:noProof/>
            <w:webHidden/>
          </w:rPr>
          <w:fldChar w:fldCharType="end"/>
        </w:r>
      </w:hyperlink>
    </w:p>
    <w:p w14:paraId="3EBF1DBA" w14:textId="51C84344" w:rsidR="007845E0" w:rsidRDefault="007845E0">
      <w:pPr>
        <w:pStyle w:val="TDC2"/>
        <w:tabs>
          <w:tab w:val="right" w:leader="dot" w:pos="9062"/>
        </w:tabs>
        <w:rPr>
          <w:rFonts w:asciiTheme="minorHAnsi" w:eastAsiaTheme="minorEastAsia" w:hAnsiTheme="minorHAnsi"/>
          <w:noProof/>
          <w:kern w:val="2"/>
          <w:sz w:val="24"/>
          <w:szCs w:val="24"/>
          <w:lang w:val="es-ES" w:eastAsia="es-ES"/>
          <w14:ligatures w14:val="standardContextual"/>
        </w:rPr>
      </w:pPr>
      <w:hyperlink w:anchor="_Toc239258719" w:history="1">
        <w:r w:rsidRPr="00C42E2F">
          <w:rPr>
            <w:rStyle w:val="Hipervnculo"/>
            <w:noProof/>
          </w:rPr>
          <w:t>4.2 Costos y su estructura</w:t>
        </w:r>
        <w:r>
          <w:rPr>
            <w:noProof/>
            <w:webHidden/>
          </w:rPr>
          <w:tab/>
        </w:r>
        <w:r>
          <w:rPr>
            <w:noProof/>
            <w:webHidden/>
          </w:rPr>
          <w:fldChar w:fldCharType="begin"/>
        </w:r>
        <w:r>
          <w:rPr>
            <w:noProof/>
            <w:webHidden/>
          </w:rPr>
          <w:instrText xml:space="preserve"> PAGEREF _Toc239258719 \h </w:instrText>
        </w:r>
        <w:r>
          <w:rPr>
            <w:noProof/>
            <w:webHidden/>
          </w:rPr>
        </w:r>
        <w:r>
          <w:rPr>
            <w:noProof/>
            <w:webHidden/>
          </w:rPr>
          <w:fldChar w:fldCharType="separate"/>
        </w:r>
        <w:r>
          <w:rPr>
            <w:noProof/>
            <w:webHidden/>
          </w:rPr>
          <w:t>8</w:t>
        </w:r>
        <w:r>
          <w:rPr>
            <w:noProof/>
            <w:webHidden/>
          </w:rPr>
          <w:fldChar w:fldCharType="end"/>
        </w:r>
      </w:hyperlink>
    </w:p>
    <w:p w14:paraId="44E45118" w14:textId="690C360C" w:rsidR="007845E0" w:rsidRDefault="007845E0">
      <w:pPr>
        <w:pStyle w:val="TDC2"/>
        <w:tabs>
          <w:tab w:val="right" w:leader="dot" w:pos="9062"/>
        </w:tabs>
        <w:rPr>
          <w:rFonts w:asciiTheme="minorHAnsi" w:eastAsiaTheme="minorEastAsia" w:hAnsiTheme="minorHAnsi"/>
          <w:noProof/>
          <w:kern w:val="2"/>
          <w:sz w:val="24"/>
          <w:szCs w:val="24"/>
          <w:lang w:val="es-ES" w:eastAsia="es-ES"/>
          <w14:ligatures w14:val="standardContextual"/>
        </w:rPr>
      </w:pPr>
      <w:hyperlink w:anchor="_Toc239258720" w:history="1">
        <w:r w:rsidRPr="00C42E2F">
          <w:rPr>
            <w:rStyle w:val="Hipervnculo"/>
            <w:noProof/>
          </w:rPr>
          <w:t>4.3 Tiempos y riesgos</w:t>
        </w:r>
        <w:r>
          <w:rPr>
            <w:noProof/>
            <w:webHidden/>
          </w:rPr>
          <w:tab/>
        </w:r>
        <w:r>
          <w:rPr>
            <w:noProof/>
            <w:webHidden/>
          </w:rPr>
          <w:fldChar w:fldCharType="begin"/>
        </w:r>
        <w:r>
          <w:rPr>
            <w:noProof/>
            <w:webHidden/>
          </w:rPr>
          <w:instrText xml:space="preserve"> PAGEREF _Toc239258720 \h </w:instrText>
        </w:r>
        <w:r>
          <w:rPr>
            <w:noProof/>
            <w:webHidden/>
          </w:rPr>
        </w:r>
        <w:r>
          <w:rPr>
            <w:noProof/>
            <w:webHidden/>
          </w:rPr>
          <w:fldChar w:fldCharType="separate"/>
        </w:r>
        <w:r>
          <w:rPr>
            <w:noProof/>
            <w:webHidden/>
          </w:rPr>
          <w:t>9</w:t>
        </w:r>
        <w:r>
          <w:rPr>
            <w:noProof/>
            <w:webHidden/>
          </w:rPr>
          <w:fldChar w:fldCharType="end"/>
        </w:r>
      </w:hyperlink>
    </w:p>
    <w:p w14:paraId="0607EE79" w14:textId="685BFDB5" w:rsidR="007845E0" w:rsidRDefault="007845E0">
      <w:pPr>
        <w:pStyle w:val="TDC2"/>
        <w:tabs>
          <w:tab w:val="right" w:leader="dot" w:pos="9062"/>
        </w:tabs>
        <w:rPr>
          <w:rFonts w:asciiTheme="minorHAnsi" w:eastAsiaTheme="minorEastAsia" w:hAnsiTheme="minorHAnsi"/>
          <w:noProof/>
          <w:kern w:val="2"/>
          <w:sz w:val="24"/>
          <w:szCs w:val="24"/>
          <w:lang w:val="es-ES" w:eastAsia="es-ES"/>
          <w14:ligatures w14:val="standardContextual"/>
        </w:rPr>
      </w:pPr>
      <w:hyperlink w:anchor="_Toc239258721" w:history="1">
        <w:r w:rsidRPr="00C42E2F">
          <w:rPr>
            <w:rStyle w:val="Hipervnculo"/>
            <w:noProof/>
          </w:rPr>
          <w:t>4.4 Soporte y mantenimiento</w:t>
        </w:r>
        <w:r>
          <w:rPr>
            <w:noProof/>
            <w:webHidden/>
          </w:rPr>
          <w:tab/>
        </w:r>
        <w:r>
          <w:rPr>
            <w:noProof/>
            <w:webHidden/>
          </w:rPr>
          <w:fldChar w:fldCharType="begin"/>
        </w:r>
        <w:r>
          <w:rPr>
            <w:noProof/>
            <w:webHidden/>
          </w:rPr>
          <w:instrText xml:space="preserve"> PAGEREF _Toc239258721 \h </w:instrText>
        </w:r>
        <w:r>
          <w:rPr>
            <w:noProof/>
            <w:webHidden/>
          </w:rPr>
        </w:r>
        <w:r>
          <w:rPr>
            <w:noProof/>
            <w:webHidden/>
          </w:rPr>
          <w:fldChar w:fldCharType="separate"/>
        </w:r>
        <w:r>
          <w:rPr>
            <w:noProof/>
            <w:webHidden/>
          </w:rPr>
          <w:t>10</w:t>
        </w:r>
        <w:r>
          <w:rPr>
            <w:noProof/>
            <w:webHidden/>
          </w:rPr>
          <w:fldChar w:fldCharType="end"/>
        </w:r>
      </w:hyperlink>
    </w:p>
    <w:p w14:paraId="795448E2" w14:textId="0A952E5A" w:rsidR="007845E0" w:rsidRDefault="007845E0">
      <w:pPr>
        <w:pStyle w:val="TDC2"/>
        <w:tabs>
          <w:tab w:val="right" w:leader="dot" w:pos="9062"/>
        </w:tabs>
        <w:rPr>
          <w:rFonts w:asciiTheme="minorHAnsi" w:eastAsiaTheme="minorEastAsia" w:hAnsiTheme="minorHAnsi"/>
          <w:noProof/>
          <w:kern w:val="2"/>
          <w:sz w:val="24"/>
          <w:szCs w:val="24"/>
          <w:lang w:val="es-ES" w:eastAsia="es-ES"/>
          <w14:ligatures w14:val="standardContextual"/>
        </w:rPr>
      </w:pPr>
      <w:hyperlink w:anchor="_Toc239258722" w:history="1">
        <w:r w:rsidRPr="00C42E2F">
          <w:rPr>
            <w:rStyle w:val="Hipervnculo"/>
            <w:noProof/>
          </w:rPr>
          <w:t>4.5 Obsolescencia</w:t>
        </w:r>
        <w:r>
          <w:rPr>
            <w:noProof/>
            <w:webHidden/>
          </w:rPr>
          <w:tab/>
        </w:r>
        <w:r>
          <w:rPr>
            <w:noProof/>
            <w:webHidden/>
          </w:rPr>
          <w:fldChar w:fldCharType="begin"/>
        </w:r>
        <w:r>
          <w:rPr>
            <w:noProof/>
            <w:webHidden/>
          </w:rPr>
          <w:instrText xml:space="preserve"> PAGEREF _Toc239258722 \h </w:instrText>
        </w:r>
        <w:r>
          <w:rPr>
            <w:noProof/>
            <w:webHidden/>
          </w:rPr>
        </w:r>
        <w:r>
          <w:rPr>
            <w:noProof/>
            <w:webHidden/>
          </w:rPr>
          <w:fldChar w:fldCharType="separate"/>
        </w:r>
        <w:r>
          <w:rPr>
            <w:noProof/>
            <w:webHidden/>
          </w:rPr>
          <w:t>11</w:t>
        </w:r>
        <w:r>
          <w:rPr>
            <w:noProof/>
            <w:webHidden/>
          </w:rPr>
          <w:fldChar w:fldCharType="end"/>
        </w:r>
      </w:hyperlink>
    </w:p>
    <w:p w14:paraId="317CF765" w14:textId="1B1E740A" w:rsidR="007845E0" w:rsidRDefault="007845E0">
      <w:pPr>
        <w:pStyle w:val="TDC2"/>
        <w:tabs>
          <w:tab w:val="right" w:leader="dot" w:pos="9062"/>
        </w:tabs>
        <w:rPr>
          <w:rFonts w:asciiTheme="minorHAnsi" w:eastAsiaTheme="minorEastAsia" w:hAnsiTheme="minorHAnsi"/>
          <w:noProof/>
          <w:kern w:val="2"/>
          <w:sz w:val="24"/>
          <w:szCs w:val="24"/>
          <w:lang w:val="es-ES" w:eastAsia="es-ES"/>
          <w14:ligatures w14:val="standardContextual"/>
        </w:rPr>
      </w:pPr>
      <w:hyperlink w:anchor="_Toc239258723" w:history="1">
        <w:r w:rsidRPr="00C42E2F">
          <w:rPr>
            <w:rStyle w:val="Hipervnculo"/>
            <w:noProof/>
          </w:rPr>
          <w:t>4.6 Interfaces e integraciones</w:t>
        </w:r>
        <w:r>
          <w:rPr>
            <w:noProof/>
            <w:webHidden/>
          </w:rPr>
          <w:tab/>
        </w:r>
        <w:r>
          <w:rPr>
            <w:noProof/>
            <w:webHidden/>
          </w:rPr>
          <w:fldChar w:fldCharType="begin"/>
        </w:r>
        <w:r>
          <w:rPr>
            <w:noProof/>
            <w:webHidden/>
          </w:rPr>
          <w:instrText xml:space="preserve"> PAGEREF _Toc239258723 \h </w:instrText>
        </w:r>
        <w:r>
          <w:rPr>
            <w:noProof/>
            <w:webHidden/>
          </w:rPr>
        </w:r>
        <w:r>
          <w:rPr>
            <w:noProof/>
            <w:webHidden/>
          </w:rPr>
          <w:fldChar w:fldCharType="separate"/>
        </w:r>
        <w:r>
          <w:rPr>
            <w:noProof/>
            <w:webHidden/>
          </w:rPr>
          <w:t>11</w:t>
        </w:r>
        <w:r>
          <w:rPr>
            <w:noProof/>
            <w:webHidden/>
          </w:rPr>
          <w:fldChar w:fldCharType="end"/>
        </w:r>
      </w:hyperlink>
    </w:p>
    <w:p w14:paraId="222BA9BF" w14:textId="5D3BE023" w:rsidR="007845E0" w:rsidRDefault="007845E0">
      <w:pPr>
        <w:pStyle w:val="TDC2"/>
        <w:tabs>
          <w:tab w:val="right" w:leader="dot" w:pos="9062"/>
        </w:tabs>
        <w:rPr>
          <w:rFonts w:asciiTheme="minorHAnsi" w:eastAsiaTheme="minorEastAsia" w:hAnsiTheme="minorHAnsi"/>
          <w:noProof/>
          <w:kern w:val="2"/>
          <w:sz w:val="24"/>
          <w:szCs w:val="24"/>
          <w:lang w:val="es-ES" w:eastAsia="es-ES"/>
          <w14:ligatures w14:val="standardContextual"/>
        </w:rPr>
      </w:pPr>
      <w:hyperlink w:anchor="_Toc239258724" w:history="1">
        <w:r w:rsidRPr="00C42E2F">
          <w:rPr>
            <w:rStyle w:val="Hipervnculo"/>
            <w:noProof/>
          </w:rPr>
          <w:t>4.7 Seguridad y cumplimiento</w:t>
        </w:r>
        <w:r>
          <w:rPr>
            <w:noProof/>
            <w:webHidden/>
          </w:rPr>
          <w:tab/>
        </w:r>
        <w:r>
          <w:rPr>
            <w:noProof/>
            <w:webHidden/>
          </w:rPr>
          <w:fldChar w:fldCharType="begin"/>
        </w:r>
        <w:r>
          <w:rPr>
            <w:noProof/>
            <w:webHidden/>
          </w:rPr>
          <w:instrText xml:space="preserve"> PAGEREF _Toc239258724 \h </w:instrText>
        </w:r>
        <w:r>
          <w:rPr>
            <w:noProof/>
            <w:webHidden/>
          </w:rPr>
        </w:r>
        <w:r>
          <w:rPr>
            <w:noProof/>
            <w:webHidden/>
          </w:rPr>
          <w:fldChar w:fldCharType="separate"/>
        </w:r>
        <w:r>
          <w:rPr>
            <w:noProof/>
            <w:webHidden/>
          </w:rPr>
          <w:t>11</w:t>
        </w:r>
        <w:r>
          <w:rPr>
            <w:noProof/>
            <w:webHidden/>
          </w:rPr>
          <w:fldChar w:fldCharType="end"/>
        </w:r>
      </w:hyperlink>
    </w:p>
    <w:p w14:paraId="001BC5E1" w14:textId="2903AD1F" w:rsidR="007845E0" w:rsidRDefault="007845E0">
      <w:pPr>
        <w:pStyle w:val="TDC2"/>
        <w:tabs>
          <w:tab w:val="right" w:leader="dot" w:pos="9062"/>
        </w:tabs>
        <w:rPr>
          <w:rFonts w:asciiTheme="minorHAnsi" w:eastAsiaTheme="minorEastAsia" w:hAnsiTheme="minorHAnsi"/>
          <w:noProof/>
          <w:kern w:val="2"/>
          <w:sz w:val="24"/>
          <w:szCs w:val="24"/>
          <w:lang w:val="es-ES" w:eastAsia="es-ES"/>
          <w14:ligatures w14:val="standardContextual"/>
        </w:rPr>
      </w:pPr>
      <w:hyperlink w:anchor="_Toc239258725" w:history="1">
        <w:r w:rsidRPr="00C42E2F">
          <w:rPr>
            <w:rStyle w:val="Hipervnculo"/>
            <w:noProof/>
          </w:rPr>
          <w:t>4.8 Modelo de contratos y licenciamiento</w:t>
        </w:r>
        <w:r>
          <w:rPr>
            <w:noProof/>
            <w:webHidden/>
          </w:rPr>
          <w:tab/>
        </w:r>
        <w:r>
          <w:rPr>
            <w:noProof/>
            <w:webHidden/>
          </w:rPr>
          <w:fldChar w:fldCharType="begin"/>
        </w:r>
        <w:r>
          <w:rPr>
            <w:noProof/>
            <w:webHidden/>
          </w:rPr>
          <w:instrText xml:space="preserve"> PAGEREF _Toc239258725 \h </w:instrText>
        </w:r>
        <w:r>
          <w:rPr>
            <w:noProof/>
            <w:webHidden/>
          </w:rPr>
        </w:r>
        <w:r>
          <w:rPr>
            <w:noProof/>
            <w:webHidden/>
          </w:rPr>
          <w:fldChar w:fldCharType="separate"/>
        </w:r>
        <w:r>
          <w:rPr>
            <w:noProof/>
            <w:webHidden/>
          </w:rPr>
          <w:t>12</w:t>
        </w:r>
        <w:r>
          <w:rPr>
            <w:noProof/>
            <w:webHidden/>
          </w:rPr>
          <w:fldChar w:fldCharType="end"/>
        </w:r>
      </w:hyperlink>
    </w:p>
    <w:p w14:paraId="4482F2C6" w14:textId="044C8CDE" w:rsidR="007845E0" w:rsidRDefault="007845E0">
      <w:pPr>
        <w:pStyle w:val="TDC2"/>
        <w:tabs>
          <w:tab w:val="right" w:leader="dot" w:pos="9062"/>
        </w:tabs>
        <w:rPr>
          <w:rFonts w:asciiTheme="minorHAnsi" w:eastAsiaTheme="minorEastAsia" w:hAnsiTheme="minorHAnsi"/>
          <w:noProof/>
          <w:kern w:val="2"/>
          <w:sz w:val="24"/>
          <w:szCs w:val="24"/>
          <w:lang w:val="es-ES" w:eastAsia="es-ES"/>
          <w14:ligatures w14:val="standardContextual"/>
        </w:rPr>
      </w:pPr>
      <w:hyperlink w:anchor="_Toc239258726" w:history="1">
        <w:r w:rsidRPr="00C42E2F">
          <w:rPr>
            <w:rStyle w:val="Hipervnculo"/>
            <w:noProof/>
          </w:rPr>
          <w:t>4.9 Capacidad de la organización y costo de oportunidad</w:t>
        </w:r>
        <w:r>
          <w:rPr>
            <w:noProof/>
            <w:webHidden/>
          </w:rPr>
          <w:tab/>
        </w:r>
        <w:r>
          <w:rPr>
            <w:noProof/>
            <w:webHidden/>
          </w:rPr>
          <w:fldChar w:fldCharType="begin"/>
        </w:r>
        <w:r>
          <w:rPr>
            <w:noProof/>
            <w:webHidden/>
          </w:rPr>
          <w:instrText xml:space="preserve"> PAGEREF _Toc239258726 \h </w:instrText>
        </w:r>
        <w:r>
          <w:rPr>
            <w:noProof/>
            <w:webHidden/>
          </w:rPr>
        </w:r>
        <w:r>
          <w:rPr>
            <w:noProof/>
            <w:webHidden/>
          </w:rPr>
          <w:fldChar w:fldCharType="separate"/>
        </w:r>
        <w:r>
          <w:rPr>
            <w:noProof/>
            <w:webHidden/>
          </w:rPr>
          <w:t>13</w:t>
        </w:r>
        <w:r>
          <w:rPr>
            <w:noProof/>
            <w:webHidden/>
          </w:rPr>
          <w:fldChar w:fldCharType="end"/>
        </w:r>
      </w:hyperlink>
    </w:p>
    <w:p w14:paraId="6EA86BF2" w14:textId="234A3579" w:rsidR="007845E0" w:rsidRDefault="007845E0">
      <w:pPr>
        <w:pStyle w:val="TDC1"/>
        <w:tabs>
          <w:tab w:val="right" w:leader="dot" w:pos="9062"/>
        </w:tabs>
        <w:rPr>
          <w:rFonts w:asciiTheme="minorHAnsi" w:eastAsiaTheme="minorEastAsia" w:hAnsiTheme="minorHAnsi"/>
          <w:noProof/>
          <w:kern w:val="2"/>
          <w:sz w:val="24"/>
          <w:szCs w:val="24"/>
          <w:lang w:val="es-ES" w:eastAsia="es-ES"/>
          <w14:ligatures w14:val="standardContextual"/>
        </w:rPr>
      </w:pPr>
      <w:hyperlink w:anchor="_Toc239258727" w:history="1">
        <w:r w:rsidRPr="00C42E2F">
          <w:rPr>
            <w:rStyle w:val="Hipervnculo"/>
            <w:noProof/>
          </w:rPr>
          <w:t>5. Riesgos y beneficios por alternativa</w:t>
        </w:r>
        <w:r>
          <w:rPr>
            <w:noProof/>
            <w:webHidden/>
          </w:rPr>
          <w:tab/>
        </w:r>
        <w:r>
          <w:rPr>
            <w:noProof/>
            <w:webHidden/>
          </w:rPr>
          <w:fldChar w:fldCharType="begin"/>
        </w:r>
        <w:r>
          <w:rPr>
            <w:noProof/>
            <w:webHidden/>
          </w:rPr>
          <w:instrText xml:space="preserve"> PAGEREF _Toc239258727 \h </w:instrText>
        </w:r>
        <w:r>
          <w:rPr>
            <w:noProof/>
            <w:webHidden/>
          </w:rPr>
        </w:r>
        <w:r>
          <w:rPr>
            <w:noProof/>
            <w:webHidden/>
          </w:rPr>
          <w:fldChar w:fldCharType="separate"/>
        </w:r>
        <w:r>
          <w:rPr>
            <w:noProof/>
            <w:webHidden/>
          </w:rPr>
          <w:t>15</w:t>
        </w:r>
        <w:r>
          <w:rPr>
            <w:noProof/>
            <w:webHidden/>
          </w:rPr>
          <w:fldChar w:fldCharType="end"/>
        </w:r>
      </w:hyperlink>
    </w:p>
    <w:p w14:paraId="4E421F38" w14:textId="169D8099" w:rsidR="007845E0" w:rsidRDefault="007845E0">
      <w:pPr>
        <w:pStyle w:val="TDC2"/>
        <w:tabs>
          <w:tab w:val="right" w:leader="dot" w:pos="9062"/>
        </w:tabs>
        <w:rPr>
          <w:rFonts w:asciiTheme="minorHAnsi" w:eastAsiaTheme="minorEastAsia" w:hAnsiTheme="minorHAnsi"/>
          <w:noProof/>
          <w:kern w:val="2"/>
          <w:sz w:val="24"/>
          <w:szCs w:val="24"/>
          <w:lang w:val="es-ES" w:eastAsia="es-ES"/>
          <w14:ligatures w14:val="standardContextual"/>
        </w:rPr>
      </w:pPr>
      <w:hyperlink w:anchor="_Toc239258728" w:history="1">
        <w:r w:rsidRPr="00C42E2F">
          <w:rPr>
            <w:rStyle w:val="Hipervnculo"/>
            <w:noProof/>
          </w:rPr>
          <w:t>5.1 Desarrollo a medida con recursos propios</w:t>
        </w:r>
        <w:r>
          <w:rPr>
            <w:noProof/>
            <w:webHidden/>
          </w:rPr>
          <w:tab/>
        </w:r>
        <w:r>
          <w:rPr>
            <w:noProof/>
            <w:webHidden/>
          </w:rPr>
          <w:fldChar w:fldCharType="begin"/>
        </w:r>
        <w:r>
          <w:rPr>
            <w:noProof/>
            <w:webHidden/>
          </w:rPr>
          <w:instrText xml:space="preserve"> PAGEREF _Toc239258728 \h </w:instrText>
        </w:r>
        <w:r>
          <w:rPr>
            <w:noProof/>
            <w:webHidden/>
          </w:rPr>
        </w:r>
        <w:r>
          <w:rPr>
            <w:noProof/>
            <w:webHidden/>
          </w:rPr>
          <w:fldChar w:fldCharType="separate"/>
        </w:r>
        <w:r>
          <w:rPr>
            <w:noProof/>
            <w:webHidden/>
          </w:rPr>
          <w:t>15</w:t>
        </w:r>
        <w:r>
          <w:rPr>
            <w:noProof/>
            <w:webHidden/>
          </w:rPr>
          <w:fldChar w:fldCharType="end"/>
        </w:r>
      </w:hyperlink>
    </w:p>
    <w:p w14:paraId="59B48E5E" w14:textId="49CB1139" w:rsidR="007845E0" w:rsidRDefault="007845E0">
      <w:pPr>
        <w:pStyle w:val="TDC2"/>
        <w:tabs>
          <w:tab w:val="right" w:leader="dot" w:pos="9062"/>
        </w:tabs>
        <w:rPr>
          <w:rFonts w:asciiTheme="minorHAnsi" w:eastAsiaTheme="minorEastAsia" w:hAnsiTheme="minorHAnsi"/>
          <w:noProof/>
          <w:kern w:val="2"/>
          <w:sz w:val="24"/>
          <w:szCs w:val="24"/>
          <w:lang w:val="es-ES" w:eastAsia="es-ES"/>
          <w14:ligatures w14:val="standardContextual"/>
        </w:rPr>
      </w:pPr>
      <w:hyperlink w:anchor="_Toc239258729" w:history="1">
        <w:r w:rsidRPr="00C42E2F">
          <w:rPr>
            <w:rStyle w:val="Hipervnculo"/>
            <w:noProof/>
          </w:rPr>
          <w:t>5.2 Desarrollo a medida con terceros</w:t>
        </w:r>
        <w:r>
          <w:rPr>
            <w:noProof/>
            <w:webHidden/>
          </w:rPr>
          <w:tab/>
        </w:r>
        <w:r>
          <w:rPr>
            <w:noProof/>
            <w:webHidden/>
          </w:rPr>
          <w:fldChar w:fldCharType="begin"/>
        </w:r>
        <w:r>
          <w:rPr>
            <w:noProof/>
            <w:webHidden/>
          </w:rPr>
          <w:instrText xml:space="preserve"> PAGEREF _Toc239258729 \h </w:instrText>
        </w:r>
        <w:r>
          <w:rPr>
            <w:noProof/>
            <w:webHidden/>
          </w:rPr>
        </w:r>
        <w:r>
          <w:rPr>
            <w:noProof/>
            <w:webHidden/>
          </w:rPr>
          <w:fldChar w:fldCharType="separate"/>
        </w:r>
        <w:r>
          <w:rPr>
            <w:noProof/>
            <w:webHidden/>
          </w:rPr>
          <w:t>15</w:t>
        </w:r>
        <w:r>
          <w:rPr>
            <w:noProof/>
            <w:webHidden/>
          </w:rPr>
          <w:fldChar w:fldCharType="end"/>
        </w:r>
      </w:hyperlink>
    </w:p>
    <w:p w14:paraId="7EC6A2FB" w14:textId="2CFE1407" w:rsidR="007845E0" w:rsidRDefault="007845E0">
      <w:pPr>
        <w:pStyle w:val="TDC2"/>
        <w:tabs>
          <w:tab w:val="right" w:leader="dot" w:pos="9062"/>
        </w:tabs>
        <w:rPr>
          <w:rFonts w:asciiTheme="minorHAnsi" w:eastAsiaTheme="minorEastAsia" w:hAnsiTheme="minorHAnsi"/>
          <w:noProof/>
          <w:kern w:val="2"/>
          <w:sz w:val="24"/>
          <w:szCs w:val="24"/>
          <w:lang w:val="es-ES" w:eastAsia="es-ES"/>
          <w14:ligatures w14:val="standardContextual"/>
        </w:rPr>
      </w:pPr>
      <w:hyperlink w:anchor="_Toc239258730" w:history="1">
        <w:r w:rsidRPr="00C42E2F">
          <w:rPr>
            <w:rStyle w:val="Hipervnculo"/>
            <w:noProof/>
          </w:rPr>
          <w:t>5.3 Compra de software de terceros fijo (enlatado)</w:t>
        </w:r>
        <w:r>
          <w:rPr>
            <w:noProof/>
            <w:webHidden/>
          </w:rPr>
          <w:tab/>
        </w:r>
        <w:r>
          <w:rPr>
            <w:noProof/>
            <w:webHidden/>
          </w:rPr>
          <w:fldChar w:fldCharType="begin"/>
        </w:r>
        <w:r>
          <w:rPr>
            <w:noProof/>
            <w:webHidden/>
          </w:rPr>
          <w:instrText xml:space="preserve"> PAGEREF _Toc239258730 \h </w:instrText>
        </w:r>
        <w:r>
          <w:rPr>
            <w:noProof/>
            <w:webHidden/>
          </w:rPr>
        </w:r>
        <w:r>
          <w:rPr>
            <w:noProof/>
            <w:webHidden/>
          </w:rPr>
          <w:fldChar w:fldCharType="separate"/>
        </w:r>
        <w:r>
          <w:rPr>
            <w:noProof/>
            <w:webHidden/>
          </w:rPr>
          <w:t>15</w:t>
        </w:r>
        <w:r>
          <w:rPr>
            <w:noProof/>
            <w:webHidden/>
          </w:rPr>
          <w:fldChar w:fldCharType="end"/>
        </w:r>
      </w:hyperlink>
    </w:p>
    <w:p w14:paraId="25677A89" w14:textId="529C4E23" w:rsidR="007845E0" w:rsidRDefault="007845E0">
      <w:pPr>
        <w:pStyle w:val="TDC2"/>
        <w:tabs>
          <w:tab w:val="right" w:leader="dot" w:pos="9062"/>
        </w:tabs>
        <w:rPr>
          <w:rFonts w:asciiTheme="minorHAnsi" w:eastAsiaTheme="minorEastAsia" w:hAnsiTheme="minorHAnsi"/>
          <w:noProof/>
          <w:kern w:val="2"/>
          <w:sz w:val="24"/>
          <w:szCs w:val="24"/>
          <w:lang w:val="es-ES" w:eastAsia="es-ES"/>
          <w14:ligatures w14:val="standardContextual"/>
        </w:rPr>
      </w:pPr>
      <w:hyperlink w:anchor="_Toc239258731" w:history="1">
        <w:r w:rsidRPr="00C42E2F">
          <w:rPr>
            <w:rStyle w:val="Hipervnculo"/>
            <w:noProof/>
          </w:rPr>
          <w:t>5.4 Compra de software de terceros parametrizable</w:t>
        </w:r>
        <w:r>
          <w:rPr>
            <w:noProof/>
            <w:webHidden/>
          </w:rPr>
          <w:tab/>
        </w:r>
        <w:r>
          <w:rPr>
            <w:noProof/>
            <w:webHidden/>
          </w:rPr>
          <w:fldChar w:fldCharType="begin"/>
        </w:r>
        <w:r>
          <w:rPr>
            <w:noProof/>
            <w:webHidden/>
          </w:rPr>
          <w:instrText xml:space="preserve"> PAGEREF _Toc239258731 \h </w:instrText>
        </w:r>
        <w:r>
          <w:rPr>
            <w:noProof/>
            <w:webHidden/>
          </w:rPr>
        </w:r>
        <w:r>
          <w:rPr>
            <w:noProof/>
            <w:webHidden/>
          </w:rPr>
          <w:fldChar w:fldCharType="separate"/>
        </w:r>
        <w:r>
          <w:rPr>
            <w:noProof/>
            <w:webHidden/>
          </w:rPr>
          <w:t>15</w:t>
        </w:r>
        <w:r>
          <w:rPr>
            <w:noProof/>
            <w:webHidden/>
          </w:rPr>
          <w:fldChar w:fldCharType="end"/>
        </w:r>
      </w:hyperlink>
    </w:p>
    <w:p w14:paraId="0DD49D49" w14:textId="14A54E7C" w:rsidR="007845E0" w:rsidRDefault="007845E0">
      <w:pPr>
        <w:pStyle w:val="TDC1"/>
        <w:tabs>
          <w:tab w:val="right" w:leader="dot" w:pos="9062"/>
        </w:tabs>
        <w:rPr>
          <w:rFonts w:asciiTheme="minorHAnsi" w:eastAsiaTheme="minorEastAsia" w:hAnsiTheme="minorHAnsi"/>
          <w:noProof/>
          <w:kern w:val="2"/>
          <w:sz w:val="24"/>
          <w:szCs w:val="24"/>
          <w:lang w:val="es-ES" w:eastAsia="es-ES"/>
          <w14:ligatures w14:val="standardContextual"/>
        </w:rPr>
      </w:pPr>
      <w:hyperlink w:anchor="_Toc239258732" w:history="1">
        <w:r w:rsidRPr="00C42E2F">
          <w:rPr>
            <w:rStyle w:val="Hipervnculo"/>
            <w:noProof/>
          </w:rPr>
          <w:t>6. Conclusiones y marco de decisión</w:t>
        </w:r>
        <w:r>
          <w:rPr>
            <w:noProof/>
            <w:webHidden/>
          </w:rPr>
          <w:tab/>
        </w:r>
        <w:r>
          <w:rPr>
            <w:noProof/>
            <w:webHidden/>
          </w:rPr>
          <w:fldChar w:fldCharType="begin"/>
        </w:r>
        <w:r>
          <w:rPr>
            <w:noProof/>
            <w:webHidden/>
          </w:rPr>
          <w:instrText xml:space="preserve"> PAGEREF _Toc239258732 \h </w:instrText>
        </w:r>
        <w:r>
          <w:rPr>
            <w:noProof/>
            <w:webHidden/>
          </w:rPr>
        </w:r>
        <w:r>
          <w:rPr>
            <w:noProof/>
            <w:webHidden/>
          </w:rPr>
          <w:fldChar w:fldCharType="separate"/>
        </w:r>
        <w:r>
          <w:rPr>
            <w:noProof/>
            <w:webHidden/>
          </w:rPr>
          <w:t>16</w:t>
        </w:r>
        <w:r>
          <w:rPr>
            <w:noProof/>
            <w:webHidden/>
          </w:rPr>
          <w:fldChar w:fldCharType="end"/>
        </w:r>
      </w:hyperlink>
    </w:p>
    <w:p w14:paraId="30A29FE2" w14:textId="0E883598" w:rsidR="007845E0" w:rsidRDefault="007845E0">
      <w:pPr>
        <w:pStyle w:val="TDC2"/>
        <w:tabs>
          <w:tab w:val="right" w:leader="dot" w:pos="9062"/>
        </w:tabs>
        <w:rPr>
          <w:rFonts w:asciiTheme="minorHAnsi" w:eastAsiaTheme="minorEastAsia" w:hAnsiTheme="minorHAnsi"/>
          <w:noProof/>
          <w:kern w:val="2"/>
          <w:sz w:val="24"/>
          <w:szCs w:val="24"/>
          <w:lang w:val="es-ES" w:eastAsia="es-ES"/>
          <w14:ligatures w14:val="standardContextual"/>
        </w:rPr>
      </w:pPr>
      <w:hyperlink w:anchor="_Toc239258733" w:history="1">
        <w:r w:rsidRPr="00C42E2F">
          <w:rPr>
            <w:rStyle w:val="Hipervnculo"/>
            <w:noProof/>
          </w:rPr>
          <w:t>6.1 Conclusiones</w:t>
        </w:r>
        <w:r>
          <w:rPr>
            <w:noProof/>
            <w:webHidden/>
          </w:rPr>
          <w:tab/>
        </w:r>
        <w:r>
          <w:rPr>
            <w:noProof/>
            <w:webHidden/>
          </w:rPr>
          <w:fldChar w:fldCharType="begin"/>
        </w:r>
        <w:r>
          <w:rPr>
            <w:noProof/>
            <w:webHidden/>
          </w:rPr>
          <w:instrText xml:space="preserve"> PAGEREF _Toc239258733 \h </w:instrText>
        </w:r>
        <w:r>
          <w:rPr>
            <w:noProof/>
            <w:webHidden/>
          </w:rPr>
        </w:r>
        <w:r>
          <w:rPr>
            <w:noProof/>
            <w:webHidden/>
          </w:rPr>
          <w:fldChar w:fldCharType="separate"/>
        </w:r>
        <w:r>
          <w:rPr>
            <w:noProof/>
            <w:webHidden/>
          </w:rPr>
          <w:t>16</w:t>
        </w:r>
        <w:r>
          <w:rPr>
            <w:noProof/>
            <w:webHidden/>
          </w:rPr>
          <w:fldChar w:fldCharType="end"/>
        </w:r>
      </w:hyperlink>
    </w:p>
    <w:p w14:paraId="69DC7AF0" w14:textId="3EB227E8" w:rsidR="007845E0" w:rsidRDefault="007845E0">
      <w:pPr>
        <w:pStyle w:val="TDC2"/>
        <w:tabs>
          <w:tab w:val="right" w:leader="dot" w:pos="9062"/>
        </w:tabs>
        <w:rPr>
          <w:rFonts w:asciiTheme="minorHAnsi" w:eastAsiaTheme="minorEastAsia" w:hAnsiTheme="minorHAnsi"/>
          <w:noProof/>
          <w:kern w:val="2"/>
          <w:sz w:val="24"/>
          <w:szCs w:val="24"/>
          <w:lang w:val="es-ES" w:eastAsia="es-ES"/>
          <w14:ligatures w14:val="standardContextual"/>
        </w:rPr>
      </w:pPr>
      <w:hyperlink w:anchor="_Toc239258734" w:history="1">
        <w:r w:rsidRPr="00C42E2F">
          <w:rPr>
            <w:rStyle w:val="Hipervnculo"/>
            <w:noProof/>
          </w:rPr>
          <w:t>6.2 Esquema de decisión</w:t>
        </w:r>
        <w:r>
          <w:rPr>
            <w:noProof/>
            <w:webHidden/>
          </w:rPr>
          <w:tab/>
        </w:r>
        <w:r>
          <w:rPr>
            <w:noProof/>
            <w:webHidden/>
          </w:rPr>
          <w:fldChar w:fldCharType="begin"/>
        </w:r>
        <w:r>
          <w:rPr>
            <w:noProof/>
            <w:webHidden/>
          </w:rPr>
          <w:instrText xml:space="preserve"> PAGEREF _Toc239258734 \h </w:instrText>
        </w:r>
        <w:r>
          <w:rPr>
            <w:noProof/>
            <w:webHidden/>
          </w:rPr>
        </w:r>
        <w:r>
          <w:rPr>
            <w:noProof/>
            <w:webHidden/>
          </w:rPr>
          <w:fldChar w:fldCharType="separate"/>
        </w:r>
        <w:r>
          <w:rPr>
            <w:noProof/>
            <w:webHidden/>
          </w:rPr>
          <w:t>16</w:t>
        </w:r>
        <w:r>
          <w:rPr>
            <w:noProof/>
            <w:webHidden/>
          </w:rPr>
          <w:fldChar w:fldCharType="end"/>
        </w:r>
      </w:hyperlink>
    </w:p>
    <w:p w14:paraId="4A654139" w14:textId="637B1E97" w:rsidR="007845E0" w:rsidRDefault="007845E0">
      <w:pPr>
        <w:pStyle w:val="TDC2"/>
        <w:tabs>
          <w:tab w:val="right" w:leader="dot" w:pos="9062"/>
        </w:tabs>
        <w:rPr>
          <w:rFonts w:asciiTheme="minorHAnsi" w:eastAsiaTheme="minorEastAsia" w:hAnsiTheme="minorHAnsi"/>
          <w:noProof/>
          <w:kern w:val="2"/>
          <w:sz w:val="24"/>
          <w:szCs w:val="24"/>
          <w:lang w:val="es-ES" w:eastAsia="es-ES"/>
          <w14:ligatures w14:val="standardContextual"/>
        </w:rPr>
      </w:pPr>
      <w:hyperlink w:anchor="_Toc239258735" w:history="1">
        <w:r w:rsidRPr="00C42E2F">
          <w:rPr>
            <w:rStyle w:val="Hipervnculo"/>
            <w:noProof/>
          </w:rPr>
          <w:t>6.3 Antes de pedir propuestas</w:t>
        </w:r>
        <w:r>
          <w:rPr>
            <w:noProof/>
            <w:webHidden/>
          </w:rPr>
          <w:tab/>
        </w:r>
        <w:r>
          <w:rPr>
            <w:noProof/>
            <w:webHidden/>
          </w:rPr>
          <w:fldChar w:fldCharType="begin"/>
        </w:r>
        <w:r>
          <w:rPr>
            <w:noProof/>
            <w:webHidden/>
          </w:rPr>
          <w:instrText xml:space="preserve"> PAGEREF _Toc239258735 \h </w:instrText>
        </w:r>
        <w:r>
          <w:rPr>
            <w:noProof/>
            <w:webHidden/>
          </w:rPr>
        </w:r>
        <w:r>
          <w:rPr>
            <w:noProof/>
            <w:webHidden/>
          </w:rPr>
          <w:fldChar w:fldCharType="separate"/>
        </w:r>
        <w:r>
          <w:rPr>
            <w:noProof/>
            <w:webHidden/>
          </w:rPr>
          <w:t>17</w:t>
        </w:r>
        <w:r>
          <w:rPr>
            <w:noProof/>
            <w:webHidden/>
          </w:rPr>
          <w:fldChar w:fldCharType="end"/>
        </w:r>
      </w:hyperlink>
    </w:p>
    <w:p w14:paraId="29840119" w14:textId="226F6ADE" w:rsidR="007845E0" w:rsidRDefault="007845E0">
      <w:pPr>
        <w:pStyle w:val="TDC1"/>
        <w:tabs>
          <w:tab w:val="right" w:leader="dot" w:pos="9062"/>
        </w:tabs>
        <w:rPr>
          <w:rFonts w:asciiTheme="minorHAnsi" w:eastAsiaTheme="minorEastAsia" w:hAnsiTheme="minorHAnsi"/>
          <w:noProof/>
          <w:kern w:val="2"/>
          <w:sz w:val="24"/>
          <w:szCs w:val="24"/>
          <w:lang w:val="es-ES" w:eastAsia="es-ES"/>
          <w14:ligatures w14:val="standardContextual"/>
        </w:rPr>
      </w:pPr>
      <w:hyperlink w:anchor="_Toc239258736" w:history="1">
        <w:r w:rsidRPr="00C42E2F">
          <w:rPr>
            <w:rStyle w:val="Hipervnculo"/>
            <w:noProof/>
          </w:rPr>
          <w:t>7. Bibliografía</w:t>
        </w:r>
        <w:r>
          <w:rPr>
            <w:noProof/>
            <w:webHidden/>
          </w:rPr>
          <w:tab/>
        </w:r>
        <w:r>
          <w:rPr>
            <w:noProof/>
            <w:webHidden/>
          </w:rPr>
          <w:fldChar w:fldCharType="begin"/>
        </w:r>
        <w:r>
          <w:rPr>
            <w:noProof/>
            <w:webHidden/>
          </w:rPr>
          <w:instrText xml:space="preserve"> PAGEREF _Toc239258736 \h </w:instrText>
        </w:r>
        <w:r>
          <w:rPr>
            <w:noProof/>
            <w:webHidden/>
          </w:rPr>
        </w:r>
        <w:r>
          <w:rPr>
            <w:noProof/>
            <w:webHidden/>
          </w:rPr>
          <w:fldChar w:fldCharType="separate"/>
        </w:r>
        <w:r>
          <w:rPr>
            <w:noProof/>
            <w:webHidden/>
          </w:rPr>
          <w:t>18</w:t>
        </w:r>
        <w:r>
          <w:rPr>
            <w:noProof/>
            <w:webHidden/>
          </w:rPr>
          <w:fldChar w:fldCharType="end"/>
        </w:r>
      </w:hyperlink>
    </w:p>
    <w:p w14:paraId="5C41C029" w14:textId="482AEA4F" w:rsidR="00FF3B0F" w:rsidRDefault="005306D5">
      <w:r>
        <w:fldChar w:fldCharType="end"/>
      </w:r>
    </w:p>
    <w:p w14:paraId="6175BF55" w14:textId="77777777" w:rsidR="00FF3B0F" w:rsidRDefault="005306D5">
      <w:r>
        <w:br w:type="page"/>
      </w:r>
    </w:p>
    <w:p w14:paraId="7D3A02EE" w14:textId="77777777" w:rsidR="00FF3B0F" w:rsidRDefault="005306D5">
      <w:pPr>
        <w:pStyle w:val="Ttulo1"/>
        <w:spacing w:before="40" w:after="80"/>
      </w:pPr>
      <w:bookmarkStart w:id="0" w:name="_Toc239258713"/>
      <w:r>
        <w:lastRenderedPageBreak/>
        <w:t>Resumen ejecutivo</w:t>
      </w:r>
      <w:bookmarkEnd w:id="0"/>
    </w:p>
    <w:p w14:paraId="358F699C" w14:textId="77777777" w:rsidR="00FF3B0F" w:rsidRDefault="005306D5">
      <w:pPr>
        <w:spacing w:after="40"/>
        <w:jc w:val="both"/>
      </w:pPr>
      <w:r>
        <w:t>Conseguir el software que sostiene una función de negocio admite cuatro caminos: construirlo con equipo propio, contratar el desarrollo a un tercero, comprar un producto cerrado o comprar uno parametrizable. Ninguno gana en general. La respuesta se decide función por función, y la primera pregunta es si esa función diferencia a la organización frente a sus competidores. Lo que diferencia se construye; lo que no —la mayoría— se compra. Adaptar el proceso al producto es parte de la decisión, no una concesión.</w:t>
      </w:r>
      <w:r>
        <w:rPr>
          <w:sz w:val="18"/>
        </w:rPr>
        <w:t xml:space="preserve"> </w:t>
      </w:r>
      <w:hyperlink w:anchor="fuente_1">
        <w:r>
          <w:rPr>
            <w:color w:val="1F3B63"/>
            <w:sz w:val="18"/>
          </w:rPr>
          <w:t>[1]</w:t>
        </w:r>
      </w:hyperlink>
    </w:p>
    <w:p w14:paraId="59D356F8" w14:textId="77777777" w:rsidR="00FF3B0F" w:rsidRDefault="005306D5">
      <w:pPr>
        <w:spacing w:after="40"/>
        <w:jc w:val="both"/>
      </w:pPr>
      <w:r>
        <w:t>La comparación se hizo sobre veinticinco características técnicas, organizacionales y legales, agrupadas en nueve categorías, con un veredicto por característica y por alternativa. Ninguna casilla dice «depende»: en cada una el informe se compromete con una ventaja o una desventaja.</w:t>
      </w:r>
    </w:p>
    <w:p w14:paraId="1BBC4502" w14:textId="77777777" w:rsidR="00FF3B0F" w:rsidRDefault="005306D5">
      <w:pPr>
        <w:spacing w:after="40"/>
        <w:jc w:val="both"/>
      </w:pPr>
      <w:r>
        <w:t>La evidencia son normas técnicas, auditorías de organismos de control, estados contables auditados y estudios empíricos sobre resultados de proyectos. La literatura casi no compara empíricamente construir con comprar, así que varios veredictos se apoyan en el razonamiento de fuentes autorizadas y en casos auditados antes que en mediciones directas.</w:t>
      </w:r>
      <w:r>
        <w:rPr>
          <w:sz w:val="18"/>
        </w:rPr>
        <w:t xml:space="preserve"> </w:t>
      </w:r>
      <w:hyperlink w:anchor="fuente_2">
        <w:r>
          <w:rPr>
            <w:color w:val="1F3B63"/>
            <w:sz w:val="18"/>
          </w:rPr>
          <w:t>[2]</w:t>
        </w:r>
      </w:hyperlink>
    </w:p>
    <w:p w14:paraId="20B01A32" w14:textId="77777777" w:rsidR="00FF3B0F" w:rsidRDefault="005306D5">
      <w:pPr>
        <w:spacing w:after="40"/>
        <w:jc w:val="both"/>
      </w:pPr>
      <w:r>
        <w:t>Dos salvedades acotan el uso de estas conclusiones. El conjunto de características no es neutral. Dieciocho salieron de la comparación inicial y favorecen al desarrollo en catorce casos; las siete restantes se buscaron a propósito, enumerando las dimensiones por las que el mercado compra. El equilibrio del recuento es entonces, en parte, resultado de esa búsqueda. Y la evidencia sobre riesgo de ejecución viene casi toda de programas de gran escala, que no se transfieren sin más a una decisión de diez person</w:t>
      </w:r>
      <w:r>
        <w:t>as.</w:t>
      </w:r>
      <w:r>
        <w:rPr>
          <w:sz w:val="18"/>
        </w:rPr>
        <w:t xml:space="preserve"> </w:t>
      </w:r>
      <w:hyperlink w:anchor="fuente_3">
        <w:r>
          <w:rPr>
            <w:color w:val="1F3B63"/>
            <w:sz w:val="18"/>
          </w:rPr>
          <w:t>[3]</w:t>
        </w:r>
      </w:hyperlink>
      <w:hyperlink w:anchor="fuente_4">
        <w:r>
          <w:rPr>
            <w:color w:val="1F3B63"/>
            <w:sz w:val="18"/>
          </w:rPr>
          <w:t>[4]</w:t>
        </w:r>
      </w:hyperlink>
      <w:hyperlink w:anchor="fuente_5">
        <w:r>
          <w:rPr>
            <w:color w:val="1F3B63"/>
            <w:sz w:val="18"/>
          </w:rPr>
          <w:t>[5]</w:t>
        </w:r>
      </w:hyperlink>
    </w:p>
    <w:p w14:paraId="1EE9BA0C" w14:textId="77777777" w:rsidR="00FF3B0F" w:rsidRDefault="005306D5">
      <w:pPr>
        <w:spacing w:after="40"/>
        <w:jc w:val="both"/>
      </w:pPr>
      <w:r>
        <w:t>Tres hallazgos mueven el resultado más que la elección de la vía. El error más caro no es comprar sino personalizar en exceso lo comprado. Los entornos de paquete son una plataforma pobre para desarrollar; sostenerlos al día cuesta más de lo estimado; y el intento de que el producto replicara los procesos propios está en el origen de abandonos de gran escala.</w:t>
      </w:r>
      <w:r>
        <w:rPr>
          <w:sz w:val="18"/>
        </w:rPr>
        <w:t xml:space="preserve"> </w:t>
      </w:r>
      <w:hyperlink w:anchor="fuente_6">
        <w:r>
          <w:rPr>
            <w:color w:val="1F3B63"/>
            <w:sz w:val="18"/>
          </w:rPr>
          <w:t>[6]</w:t>
        </w:r>
      </w:hyperlink>
      <w:hyperlink w:anchor="fuente_7">
        <w:r>
          <w:rPr>
            <w:color w:val="1F3B63"/>
            <w:sz w:val="18"/>
          </w:rPr>
          <w:t>[7]</w:t>
        </w:r>
      </w:hyperlink>
    </w:p>
    <w:p w14:paraId="07931596" w14:textId="77777777" w:rsidR="00FF3B0F" w:rsidRDefault="005306D5">
      <w:pPr>
        <w:spacing w:after="40"/>
        <w:jc w:val="both"/>
      </w:pPr>
      <w:r>
        <w:t>El riesgo de ejecución lo gobierna sobre todo el tamaño del proyecto: sobre 1.471 proyectos, uno de cada seis se desvió 200% en costo, y la tasa de éxito que mide Standish es del 16,2%, del 9% en empresas grandes. Las dos fuentes recomiendan lo mismo: dividir en entregas chicas, que mueve el resultado más que elegir entre las cuatro alternativas.</w:t>
      </w:r>
      <w:r>
        <w:rPr>
          <w:sz w:val="18"/>
        </w:rPr>
        <w:t xml:space="preserve"> </w:t>
      </w:r>
      <w:hyperlink w:anchor="fuente_5">
        <w:r>
          <w:rPr>
            <w:color w:val="1F3B63"/>
            <w:sz w:val="18"/>
          </w:rPr>
          <w:t>[5]</w:t>
        </w:r>
      </w:hyperlink>
      <w:hyperlink w:anchor="fuente_4">
        <w:r>
          <w:rPr>
            <w:color w:val="1F3B63"/>
            <w:sz w:val="18"/>
          </w:rPr>
          <w:t>[4]</w:t>
        </w:r>
      </w:hyperlink>
    </w:p>
    <w:p w14:paraId="30AFC9F3" w14:textId="77777777" w:rsidR="00FF3B0F" w:rsidRDefault="005306D5">
      <w:pPr>
        <w:spacing w:after="40"/>
        <w:jc w:val="both"/>
      </w:pPr>
      <w:r>
        <w:t>Y lo que define el resultado rara vez entra en la evaluación inicial: la responsabilidad solidaria al ceder datos personales, el nivel de accesibilidad alcanzable, la fecha de fin de soporte, la deuda técnica escondida en un producto ajeno y el costo de salida se descubren después de firmar, cuando ya no se negocian.</w:t>
      </w:r>
      <w:r>
        <w:rPr>
          <w:sz w:val="18"/>
        </w:rPr>
        <w:t xml:space="preserve"> </w:t>
      </w:r>
      <w:hyperlink w:anchor="fuente_8">
        <w:r>
          <w:rPr>
            <w:color w:val="1F3B63"/>
            <w:sz w:val="18"/>
          </w:rPr>
          <w:t>[8]</w:t>
        </w:r>
      </w:hyperlink>
      <w:hyperlink w:anchor="fuente_9">
        <w:r>
          <w:rPr>
            <w:color w:val="1F3B63"/>
            <w:sz w:val="18"/>
          </w:rPr>
          <w:t>[9]</w:t>
        </w:r>
      </w:hyperlink>
      <w:hyperlink w:anchor="fuente_10">
        <w:r>
          <w:rPr>
            <w:color w:val="1F3B63"/>
            <w:sz w:val="18"/>
          </w:rPr>
          <w:t>[10]</w:t>
        </w:r>
      </w:hyperlink>
      <w:hyperlink w:anchor="fuente_11">
        <w:r>
          <w:rPr>
            <w:color w:val="1F3B63"/>
            <w:sz w:val="18"/>
          </w:rPr>
          <w:t>[11]</w:t>
        </w:r>
      </w:hyperlink>
      <w:hyperlink w:anchor="fuente_3">
        <w:r>
          <w:rPr>
            <w:color w:val="1F3B63"/>
            <w:sz w:val="18"/>
          </w:rPr>
          <w:t>[3]</w:t>
        </w:r>
      </w:hyperlink>
    </w:p>
    <w:p w14:paraId="62E33A6E" w14:textId="77777777" w:rsidR="00FF3B0F" w:rsidRDefault="005306D5">
      <w:pPr>
        <w:spacing w:after="40"/>
        <w:jc w:val="both"/>
      </w:pPr>
      <w:r>
        <w:t>Antes de pedir propuestas corresponde clasificar cada función como diferenciadora o de uso común, escribir los requerimientos —incluidos los no funcionales—, revisar el marco legal antes que el técnico, fijar el nivel de servicio en términos medibles, analizar la estructura del costo y no su magnitud, y acotar el tamaño del proyecto. El esquema completo está en la sección 6.</w:t>
      </w:r>
      <w:r>
        <w:rPr>
          <w:sz w:val="18"/>
        </w:rPr>
        <w:t xml:space="preserve"> </w:t>
      </w:r>
      <w:hyperlink w:anchor="fuente_1">
        <w:r>
          <w:rPr>
            <w:color w:val="1F3B63"/>
            <w:sz w:val="18"/>
          </w:rPr>
          <w:t>[1]</w:t>
        </w:r>
      </w:hyperlink>
      <w:hyperlink w:anchor="fuente_4">
        <w:r>
          <w:rPr>
            <w:color w:val="1F3B63"/>
            <w:sz w:val="18"/>
          </w:rPr>
          <w:t>[4]</w:t>
        </w:r>
      </w:hyperlink>
      <w:hyperlink w:anchor="fuente_8">
        <w:r>
          <w:rPr>
            <w:color w:val="1F3B63"/>
            <w:sz w:val="18"/>
          </w:rPr>
          <w:t>[8]</w:t>
        </w:r>
      </w:hyperlink>
      <w:hyperlink w:anchor="fuente_12">
        <w:r>
          <w:rPr>
            <w:color w:val="1F3B63"/>
            <w:sz w:val="18"/>
          </w:rPr>
          <w:t>[12]</w:t>
        </w:r>
      </w:hyperlink>
    </w:p>
    <w:p w14:paraId="42456EEB" w14:textId="77777777" w:rsidR="00FF3B0F" w:rsidRDefault="005306D5">
      <w:r>
        <w:br w:type="page"/>
      </w:r>
    </w:p>
    <w:p w14:paraId="7CBD08DB" w14:textId="77777777" w:rsidR="00FF3B0F" w:rsidRDefault="005306D5">
      <w:pPr>
        <w:pStyle w:val="Ttulo1"/>
      </w:pPr>
      <w:bookmarkStart w:id="1" w:name="_Toc239258714"/>
      <w:r>
        <w:lastRenderedPageBreak/>
        <w:t>1. Objetivo y alcance</w:t>
      </w:r>
      <w:bookmarkEnd w:id="1"/>
    </w:p>
    <w:p w14:paraId="7B09B171" w14:textId="77777777" w:rsidR="00FF3B0F" w:rsidRDefault="005306D5">
      <w:pPr>
        <w:jc w:val="both"/>
      </w:pPr>
      <w:r>
        <w:t>El informe compara cuatro formas de conseguir el software que una organización necesita, sobre las características técnicas, organizacionales y legales que corresponde evaluar en cada una. Las compara como vías puras; en un caso concreto pueden combinarse, y esa combinación queda fuera del análisis.</w:t>
      </w:r>
      <w:r>
        <w:rPr>
          <w:sz w:val="18"/>
        </w:rPr>
        <w:t xml:space="preserve"> </w:t>
      </w:r>
      <w:hyperlink w:anchor="fuente_13">
        <w:r>
          <w:rPr>
            <w:color w:val="1F3B63"/>
            <w:sz w:val="18"/>
          </w:rPr>
          <w:t>[13]</w:t>
        </w:r>
      </w:hyperlink>
    </w:p>
    <w:p w14:paraId="3DE92DDE" w14:textId="77777777" w:rsidR="00FF3B0F" w:rsidRDefault="005306D5">
      <w:pPr>
        <w:jc w:val="both"/>
      </w:pPr>
      <w:r>
        <w:t>Queda fuera del alcance la comparación de precios. El valor de una licencia o de una hora de desarrollo depende del proveedor, del contrato y del volumen, de modo que cualquier cifra sería válida para un caso puntual y engañosa como criterio general; la estimación económica corresponde a una etapa posterior, con propuestas concretas sobre la mesa. Sí se analiza la forma del costo, que es estructural y está documentada: qué se recontrata ante cada cambio, cuánto más cuesta cada versión nueva por lo que se pe</w:t>
      </w:r>
      <w:r>
        <w:t>rsonalizó, y qué se paga por seguir recibiendo actualizaciones de seguridad una vez alcanzado el fin de soporte.</w:t>
      </w:r>
    </w:p>
    <w:p w14:paraId="35917431" w14:textId="77777777" w:rsidR="00FF3B0F" w:rsidRDefault="005306D5">
      <w:pPr>
        <w:jc w:val="both"/>
      </w:pPr>
      <w:r>
        <w:t>Tampoco reemplaza la evaluación del producto concreto: compara formas de aprovisionamiento, no productos, y por eso el análisis es independiente de proveedores y de marcas. Las conclusiones no dependen de la oferta disponible en un momento dado.</w:t>
      </w:r>
    </w:p>
    <w:p w14:paraId="28234DC6" w14:textId="77777777" w:rsidR="00FF3B0F" w:rsidRDefault="005306D5">
      <w:pPr>
        <w:jc w:val="both"/>
      </w:pPr>
      <w:r>
        <w:t>El informe no vale igual para cualquier tamaño de organización. La evidencia sobre riesgo de ejecución viene casi toda de auditorías de programas de gran escala. El propio informe concluye que el tamaño del proyecto predice el fracaso mejor que la tecnología o el modelo de aprovisionamiento; por esa misma tesis, esos resultados no se transfieren sin más a una decisión de tres o diez personas. Lo que sí transfiere es el marco legal argentino, que rige por igual, y el criterio de diferenciación, que no depend</w:t>
      </w:r>
      <w:r>
        <w:t>e de la escala.</w:t>
      </w:r>
      <w:r>
        <w:rPr>
          <w:sz w:val="18"/>
        </w:rPr>
        <w:t xml:space="preserve"> </w:t>
      </w:r>
      <w:hyperlink w:anchor="fuente_4">
        <w:r>
          <w:rPr>
            <w:color w:val="1F3B63"/>
            <w:sz w:val="18"/>
          </w:rPr>
          <w:t>[4]</w:t>
        </w:r>
      </w:hyperlink>
      <w:hyperlink w:anchor="fuente_5">
        <w:r>
          <w:rPr>
            <w:color w:val="1F3B63"/>
            <w:sz w:val="18"/>
          </w:rPr>
          <w:t>[5]</w:t>
        </w:r>
      </w:hyperlink>
      <w:hyperlink w:anchor="fuente_8">
        <w:r>
          <w:rPr>
            <w:color w:val="1F3B63"/>
            <w:sz w:val="18"/>
          </w:rPr>
          <w:t>[8]</w:t>
        </w:r>
      </w:hyperlink>
    </w:p>
    <w:p w14:paraId="6D6B73D4" w14:textId="77777777" w:rsidR="00FF3B0F" w:rsidRDefault="005306D5">
      <w:pPr>
        <w:pStyle w:val="Ttulo1"/>
      </w:pPr>
      <w:bookmarkStart w:id="2" w:name="_Toc239258715"/>
      <w:r>
        <w:t>2. Las cuatro alternativas</w:t>
      </w:r>
      <w:bookmarkEnd w:id="2"/>
    </w:p>
    <w:p w14:paraId="4E47701F" w14:textId="77777777" w:rsidR="00FF3B0F" w:rsidRDefault="005306D5">
      <w:pPr>
        <w:jc w:val="both"/>
      </w:pPr>
      <w:r>
        <w:rPr>
          <w:b/>
        </w:rPr>
        <w:t xml:space="preserve">1. Desarrollo a medida con recursos propios — Propio. </w:t>
      </w:r>
      <w:r>
        <w:t>La construcción la realiza el equipo interno. La organización define el alcance, sostiene el sistema y absorbe tanto sus decisiones de diseño como su deuda técnica.</w:t>
      </w:r>
    </w:p>
    <w:p w14:paraId="25A52284" w14:textId="77777777" w:rsidR="00FF3B0F" w:rsidRDefault="005306D5">
      <w:pPr>
        <w:jc w:val="both"/>
      </w:pPr>
      <w:r>
        <w:rPr>
          <w:b/>
        </w:rPr>
        <w:t xml:space="preserve">2. Desarrollo a medida con terceros — Terceros. </w:t>
      </w:r>
      <w:r>
        <w:t>La construcción se le encarga a una software factory, una consultora o un profesional independiente. El producto es a medida, pero la capacidad de construirlo es externa.</w:t>
      </w:r>
    </w:p>
    <w:p w14:paraId="4B29DFD8" w14:textId="77777777" w:rsidR="00FF3B0F" w:rsidRDefault="005306D5">
      <w:pPr>
        <w:jc w:val="both"/>
      </w:pPr>
      <w:r>
        <w:rPr>
          <w:b/>
        </w:rPr>
        <w:t xml:space="preserve">3. Compra de software de terceros fijo (enlatado) — Cerrado. </w:t>
      </w:r>
      <w:r>
        <w:t>Producto empaquetado que se usa tal como viene, con configuración mínima o nula. El proceso de la organización se adapta al software.</w:t>
      </w:r>
    </w:p>
    <w:p w14:paraId="207D3CA9" w14:textId="77777777" w:rsidR="00FF3B0F" w:rsidRDefault="005306D5">
      <w:pPr>
        <w:jc w:val="both"/>
      </w:pPr>
      <w:r>
        <w:rPr>
          <w:b/>
        </w:rPr>
        <w:t xml:space="preserve">4. Compra de software de terceros parametrizable — Parametrizable. </w:t>
      </w:r>
      <w:r>
        <w:t>Producto de terceros con una capa de configuración: módulos, flujos, reglas y extensiones. Permite acercar el producto al proceso sin escribir el núcleo.</w:t>
      </w:r>
    </w:p>
    <w:p w14:paraId="7F8CD50A" w14:textId="77777777" w:rsidR="00FF3B0F" w:rsidRDefault="005306D5">
      <w:pPr>
        <w:spacing w:before="120" w:after="160"/>
        <w:jc w:val="both"/>
      </w:pPr>
      <w:r>
        <w:t>Las dos primeras producen un software equivalente y podrían tratarse como una sola. En este informe se las separa porque quien construye cambia el análisis en seis características, que la evidencia respalda por separado. Las dos últimas se distinguen entre sí por el margen de configuración disponible.</w:t>
      </w:r>
    </w:p>
    <w:p w14:paraId="58D5E2EF" w14:textId="77777777" w:rsidR="00FF3B0F" w:rsidRDefault="005306D5">
      <w:pPr>
        <w:pStyle w:val="Ttulo1"/>
      </w:pPr>
      <w:bookmarkStart w:id="3" w:name="_Toc239258716"/>
      <w:r>
        <w:lastRenderedPageBreak/>
        <w:t>3. Matriz de veredictos</w:t>
      </w:r>
      <w:bookmarkEnd w:id="3"/>
    </w:p>
    <w:p w14:paraId="206FBFDF" w14:textId="77777777" w:rsidR="00FF3B0F" w:rsidRDefault="005306D5">
      <w:pPr>
        <w:spacing w:after="80"/>
        <w:jc w:val="both"/>
      </w:pPr>
      <w:r>
        <w:t>Cada fila es una característica y cada columna una alternativa, y el número de cada fila es el que la desarrolla en la sección 4. Las características están enunciadas de modo que tenerlas sea siempre la ventaja, así que ningún cruce queda indeciso.</w:t>
      </w:r>
    </w:p>
    <w:p w14:paraId="7A2087B4" w14:textId="77777777" w:rsidR="00FF3B0F" w:rsidRDefault="005306D5">
      <w:r>
        <w:rPr>
          <w:b/>
        </w:rPr>
        <w:t>●</w:t>
      </w:r>
      <w:r>
        <w:rPr>
          <w:i/>
          <w:sz w:val="18"/>
        </w:rPr>
        <w:t xml:space="preserve">  ventaja</w:t>
      </w:r>
      <w:r>
        <w:rPr>
          <w:b/>
        </w:rPr>
        <w:t xml:space="preserve">          ○</w:t>
      </w:r>
      <w:r>
        <w:rPr>
          <w:i/>
          <w:sz w:val="18"/>
        </w:rPr>
        <w:t xml:space="preserve">  desventaja</w:t>
      </w:r>
    </w:p>
    <w:tbl>
      <w:tblPr>
        <w:tblStyle w:val="Tablaconcuadrcula"/>
        <w:tblW w:w="0" w:type="auto"/>
        <w:jc w:val="center"/>
        <w:tblLayout w:type="fixed"/>
        <w:tblCellMar>
          <w:left w:w="60" w:type="dxa"/>
          <w:right w:w="60" w:type="dxa"/>
        </w:tblCellMar>
        <w:tblLook w:val="04A0" w:firstRow="1" w:lastRow="0" w:firstColumn="1" w:lastColumn="0" w:noHBand="0" w:noVBand="1"/>
      </w:tblPr>
      <w:tblGrid>
        <w:gridCol w:w="6123"/>
        <w:gridCol w:w="737"/>
        <w:gridCol w:w="737"/>
        <w:gridCol w:w="737"/>
        <w:gridCol w:w="737"/>
      </w:tblGrid>
      <w:tr w:rsidR="00FF3B0F" w14:paraId="528161A4" w14:textId="77777777">
        <w:trPr>
          <w:cantSplit/>
          <w:trHeight w:val="1928"/>
          <w:tblHeader/>
          <w:jc w:val="center"/>
        </w:trPr>
        <w:tc>
          <w:tcPr>
            <w:tcW w:w="6123" w:type="dxa"/>
            <w:shd w:val="clear" w:color="auto" w:fill="1F3B63"/>
            <w:vAlign w:val="center"/>
          </w:tcPr>
          <w:p w14:paraId="4D02FF59" w14:textId="77777777" w:rsidR="00FF3B0F" w:rsidRDefault="005306D5">
            <w:pPr>
              <w:spacing w:before="20" w:after="20" w:line="240" w:lineRule="auto"/>
              <w:jc w:val="center"/>
            </w:pPr>
            <w:r>
              <w:rPr>
                <w:b/>
                <w:color w:val="FFFFFF"/>
              </w:rPr>
              <w:t>Criterio y característica</w:t>
            </w:r>
          </w:p>
        </w:tc>
        <w:tc>
          <w:tcPr>
            <w:tcW w:w="737" w:type="dxa"/>
            <w:shd w:val="clear" w:color="auto" w:fill="1F3B63"/>
            <w:textDirection w:val="btLr"/>
            <w:vAlign w:val="center"/>
          </w:tcPr>
          <w:p w14:paraId="070AD606" w14:textId="77777777" w:rsidR="00FF3B0F" w:rsidRDefault="005306D5">
            <w:pPr>
              <w:spacing w:before="20" w:after="20" w:line="240" w:lineRule="auto"/>
              <w:jc w:val="center"/>
            </w:pPr>
            <w:r>
              <w:rPr>
                <w:b/>
                <w:color w:val="FFFFFF"/>
              </w:rPr>
              <w:t>Propio</w:t>
            </w:r>
          </w:p>
        </w:tc>
        <w:tc>
          <w:tcPr>
            <w:tcW w:w="737" w:type="dxa"/>
            <w:shd w:val="clear" w:color="auto" w:fill="1F3B63"/>
            <w:textDirection w:val="btLr"/>
            <w:vAlign w:val="center"/>
          </w:tcPr>
          <w:p w14:paraId="45C14BBE" w14:textId="77777777" w:rsidR="00FF3B0F" w:rsidRDefault="005306D5">
            <w:pPr>
              <w:spacing w:before="20" w:after="20" w:line="240" w:lineRule="auto"/>
              <w:jc w:val="center"/>
            </w:pPr>
            <w:r>
              <w:rPr>
                <w:b/>
                <w:color w:val="FFFFFF"/>
              </w:rPr>
              <w:t>Terceros</w:t>
            </w:r>
          </w:p>
        </w:tc>
        <w:tc>
          <w:tcPr>
            <w:tcW w:w="737" w:type="dxa"/>
            <w:shd w:val="clear" w:color="auto" w:fill="1F3B63"/>
            <w:textDirection w:val="btLr"/>
            <w:vAlign w:val="center"/>
          </w:tcPr>
          <w:p w14:paraId="23838E45" w14:textId="77777777" w:rsidR="00FF3B0F" w:rsidRDefault="005306D5">
            <w:pPr>
              <w:spacing w:before="20" w:after="20" w:line="240" w:lineRule="auto"/>
              <w:jc w:val="center"/>
            </w:pPr>
            <w:r>
              <w:rPr>
                <w:b/>
                <w:color w:val="FFFFFF"/>
              </w:rPr>
              <w:t>Cerrado</w:t>
            </w:r>
          </w:p>
        </w:tc>
        <w:tc>
          <w:tcPr>
            <w:tcW w:w="737" w:type="dxa"/>
            <w:shd w:val="clear" w:color="auto" w:fill="1F3B63"/>
            <w:textDirection w:val="btLr"/>
            <w:vAlign w:val="center"/>
          </w:tcPr>
          <w:p w14:paraId="08F5A32B" w14:textId="77777777" w:rsidR="00FF3B0F" w:rsidRDefault="005306D5">
            <w:pPr>
              <w:spacing w:before="20" w:after="20" w:line="240" w:lineRule="auto"/>
              <w:jc w:val="center"/>
            </w:pPr>
            <w:r>
              <w:rPr>
                <w:b/>
                <w:color w:val="FFFFFF"/>
              </w:rPr>
              <w:t>Parametrizable</w:t>
            </w:r>
          </w:p>
        </w:tc>
      </w:tr>
      <w:tr w:rsidR="00FF3B0F" w14:paraId="3265ED6A" w14:textId="77777777">
        <w:trPr>
          <w:cantSplit/>
          <w:jc w:val="center"/>
        </w:trPr>
        <w:tc>
          <w:tcPr>
            <w:tcW w:w="737" w:type="dxa"/>
            <w:gridSpan w:val="5"/>
            <w:shd w:val="clear" w:color="auto" w:fill="E4E9F0"/>
            <w:vAlign w:val="center"/>
          </w:tcPr>
          <w:p w14:paraId="488BB32F" w14:textId="77777777" w:rsidR="00FF3B0F" w:rsidRDefault="005306D5">
            <w:pPr>
              <w:spacing w:before="60" w:after="40" w:line="240" w:lineRule="auto"/>
            </w:pPr>
            <w:r>
              <w:rPr>
                <w:b/>
                <w:color w:val="1F3B63"/>
              </w:rPr>
              <w:t>4.1 Funcionalidad</w:t>
            </w:r>
          </w:p>
        </w:tc>
      </w:tr>
      <w:tr w:rsidR="00FF3B0F" w14:paraId="0DA63531" w14:textId="77777777">
        <w:trPr>
          <w:cantSplit/>
          <w:trHeight w:hRule="exact" w:val="652"/>
          <w:jc w:val="center"/>
        </w:trPr>
        <w:tc>
          <w:tcPr>
            <w:tcW w:w="6123" w:type="dxa"/>
            <w:vAlign w:val="center"/>
          </w:tcPr>
          <w:p w14:paraId="0B51BF19" w14:textId="77777777" w:rsidR="00FF3B0F" w:rsidRDefault="005306D5">
            <w:pPr>
              <w:spacing w:before="16" w:after="16" w:line="240" w:lineRule="auto"/>
              <w:ind w:left="142"/>
            </w:pPr>
            <w:r>
              <w:rPr>
                <w:b/>
                <w:color w:val="1F3B63"/>
              </w:rPr>
              <w:t xml:space="preserve">4.1.1  </w:t>
            </w:r>
            <w:r>
              <w:t>Capacidad de generar diferenciación frente al competidor</w:t>
            </w:r>
          </w:p>
        </w:tc>
        <w:tc>
          <w:tcPr>
            <w:tcW w:w="737" w:type="dxa"/>
            <w:vAlign w:val="center"/>
          </w:tcPr>
          <w:p w14:paraId="5A1CCF6A" w14:textId="77777777" w:rsidR="00FF3B0F" w:rsidRDefault="005306D5">
            <w:pPr>
              <w:spacing w:before="16" w:after="16" w:line="240" w:lineRule="auto"/>
              <w:jc w:val="center"/>
            </w:pPr>
            <w:r>
              <w:rPr>
                <w:b/>
              </w:rPr>
              <w:t>●</w:t>
            </w:r>
          </w:p>
        </w:tc>
        <w:tc>
          <w:tcPr>
            <w:tcW w:w="737" w:type="dxa"/>
            <w:vAlign w:val="center"/>
          </w:tcPr>
          <w:p w14:paraId="1E4DEB3A" w14:textId="77777777" w:rsidR="00FF3B0F" w:rsidRDefault="005306D5">
            <w:pPr>
              <w:spacing w:before="16" w:after="16" w:line="240" w:lineRule="auto"/>
              <w:jc w:val="center"/>
            </w:pPr>
            <w:r>
              <w:rPr>
                <w:b/>
              </w:rPr>
              <w:t>●</w:t>
            </w:r>
          </w:p>
        </w:tc>
        <w:tc>
          <w:tcPr>
            <w:tcW w:w="737" w:type="dxa"/>
            <w:vAlign w:val="center"/>
          </w:tcPr>
          <w:p w14:paraId="2E45E21E" w14:textId="77777777" w:rsidR="00FF3B0F" w:rsidRDefault="005306D5">
            <w:pPr>
              <w:spacing w:before="16" w:after="16" w:line="240" w:lineRule="auto"/>
              <w:jc w:val="center"/>
            </w:pPr>
            <w:r>
              <w:rPr>
                <w:b/>
              </w:rPr>
              <w:t>○</w:t>
            </w:r>
          </w:p>
        </w:tc>
        <w:tc>
          <w:tcPr>
            <w:tcW w:w="737" w:type="dxa"/>
            <w:vAlign w:val="center"/>
          </w:tcPr>
          <w:p w14:paraId="4A006EC4" w14:textId="77777777" w:rsidR="00FF3B0F" w:rsidRDefault="005306D5">
            <w:pPr>
              <w:spacing w:before="16" w:after="16" w:line="240" w:lineRule="auto"/>
              <w:jc w:val="center"/>
            </w:pPr>
            <w:r>
              <w:rPr>
                <w:b/>
              </w:rPr>
              <w:t>○</w:t>
            </w:r>
          </w:p>
        </w:tc>
      </w:tr>
      <w:tr w:rsidR="00FF3B0F" w14:paraId="28A31CFD" w14:textId="77777777">
        <w:trPr>
          <w:cantSplit/>
          <w:trHeight w:hRule="exact" w:val="652"/>
          <w:jc w:val="center"/>
        </w:trPr>
        <w:tc>
          <w:tcPr>
            <w:tcW w:w="6123" w:type="dxa"/>
            <w:shd w:val="clear" w:color="auto" w:fill="F7F7F7"/>
            <w:vAlign w:val="center"/>
          </w:tcPr>
          <w:p w14:paraId="3C534010" w14:textId="77777777" w:rsidR="00FF3B0F" w:rsidRDefault="005306D5">
            <w:pPr>
              <w:spacing w:before="16" w:after="16" w:line="240" w:lineRule="auto"/>
              <w:ind w:left="142"/>
            </w:pPr>
            <w:r>
              <w:rPr>
                <w:b/>
                <w:color w:val="1F3B63"/>
              </w:rPr>
              <w:t xml:space="preserve">4.1.2  </w:t>
            </w:r>
            <w:r>
              <w:t>Ajuste al proceso real sin obligar a modificarlo</w:t>
            </w:r>
          </w:p>
        </w:tc>
        <w:tc>
          <w:tcPr>
            <w:tcW w:w="737" w:type="dxa"/>
            <w:shd w:val="clear" w:color="auto" w:fill="F7F7F7"/>
            <w:vAlign w:val="center"/>
          </w:tcPr>
          <w:p w14:paraId="60CD868B" w14:textId="77777777" w:rsidR="00FF3B0F" w:rsidRDefault="005306D5">
            <w:pPr>
              <w:spacing w:before="16" w:after="16" w:line="240" w:lineRule="auto"/>
              <w:jc w:val="center"/>
            </w:pPr>
            <w:r>
              <w:rPr>
                <w:b/>
              </w:rPr>
              <w:t>●</w:t>
            </w:r>
          </w:p>
        </w:tc>
        <w:tc>
          <w:tcPr>
            <w:tcW w:w="737" w:type="dxa"/>
            <w:shd w:val="clear" w:color="auto" w:fill="F7F7F7"/>
            <w:vAlign w:val="center"/>
          </w:tcPr>
          <w:p w14:paraId="47AF6F71" w14:textId="77777777" w:rsidR="00FF3B0F" w:rsidRDefault="005306D5">
            <w:pPr>
              <w:spacing w:before="16" w:after="16" w:line="240" w:lineRule="auto"/>
              <w:jc w:val="center"/>
            </w:pPr>
            <w:r>
              <w:rPr>
                <w:b/>
              </w:rPr>
              <w:t>●</w:t>
            </w:r>
          </w:p>
        </w:tc>
        <w:tc>
          <w:tcPr>
            <w:tcW w:w="737" w:type="dxa"/>
            <w:shd w:val="clear" w:color="auto" w:fill="F7F7F7"/>
            <w:vAlign w:val="center"/>
          </w:tcPr>
          <w:p w14:paraId="30531FF0" w14:textId="77777777" w:rsidR="00FF3B0F" w:rsidRDefault="005306D5">
            <w:pPr>
              <w:spacing w:before="16" w:after="16" w:line="240" w:lineRule="auto"/>
              <w:jc w:val="center"/>
            </w:pPr>
            <w:r>
              <w:rPr>
                <w:b/>
              </w:rPr>
              <w:t>○</w:t>
            </w:r>
          </w:p>
        </w:tc>
        <w:tc>
          <w:tcPr>
            <w:tcW w:w="737" w:type="dxa"/>
            <w:shd w:val="clear" w:color="auto" w:fill="F7F7F7"/>
            <w:vAlign w:val="center"/>
          </w:tcPr>
          <w:p w14:paraId="7FFD0483" w14:textId="77777777" w:rsidR="00FF3B0F" w:rsidRDefault="005306D5">
            <w:pPr>
              <w:spacing w:before="16" w:after="16" w:line="240" w:lineRule="auto"/>
              <w:jc w:val="center"/>
            </w:pPr>
            <w:r>
              <w:rPr>
                <w:b/>
              </w:rPr>
              <w:t>○</w:t>
            </w:r>
          </w:p>
        </w:tc>
      </w:tr>
      <w:tr w:rsidR="00FF3B0F" w14:paraId="2C1A6ACE" w14:textId="77777777">
        <w:trPr>
          <w:cantSplit/>
          <w:trHeight w:hRule="exact" w:val="652"/>
          <w:jc w:val="center"/>
        </w:trPr>
        <w:tc>
          <w:tcPr>
            <w:tcW w:w="6123" w:type="dxa"/>
            <w:vAlign w:val="center"/>
          </w:tcPr>
          <w:p w14:paraId="149BD215" w14:textId="77777777" w:rsidR="00FF3B0F" w:rsidRDefault="005306D5">
            <w:pPr>
              <w:spacing w:before="16" w:after="16" w:line="240" w:lineRule="auto"/>
              <w:ind w:left="142"/>
            </w:pPr>
            <w:r>
              <w:rPr>
                <w:b/>
                <w:color w:val="1F3B63"/>
              </w:rPr>
              <w:t xml:space="preserve">4.1.3  </w:t>
            </w:r>
            <w:r>
              <w:t>Prácticas y estándares de la industria que llegan con el software</w:t>
            </w:r>
          </w:p>
        </w:tc>
        <w:tc>
          <w:tcPr>
            <w:tcW w:w="737" w:type="dxa"/>
            <w:vAlign w:val="center"/>
          </w:tcPr>
          <w:p w14:paraId="38D71DA3" w14:textId="77777777" w:rsidR="00FF3B0F" w:rsidRDefault="005306D5">
            <w:pPr>
              <w:spacing w:before="16" w:after="16" w:line="240" w:lineRule="auto"/>
              <w:jc w:val="center"/>
            </w:pPr>
            <w:r>
              <w:rPr>
                <w:b/>
              </w:rPr>
              <w:t>○</w:t>
            </w:r>
          </w:p>
        </w:tc>
        <w:tc>
          <w:tcPr>
            <w:tcW w:w="737" w:type="dxa"/>
            <w:vAlign w:val="center"/>
          </w:tcPr>
          <w:p w14:paraId="2F98BDEC" w14:textId="77777777" w:rsidR="00FF3B0F" w:rsidRDefault="005306D5">
            <w:pPr>
              <w:spacing w:before="16" w:after="16" w:line="240" w:lineRule="auto"/>
              <w:jc w:val="center"/>
            </w:pPr>
            <w:r>
              <w:rPr>
                <w:b/>
              </w:rPr>
              <w:t>○</w:t>
            </w:r>
          </w:p>
        </w:tc>
        <w:tc>
          <w:tcPr>
            <w:tcW w:w="737" w:type="dxa"/>
            <w:vAlign w:val="center"/>
          </w:tcPr>
          <w:p w14:paraId="11BADA0F" w14:textId="77777777" w:rsidR="00FF3B0F" w:rsidRDefault="005306D5">
            <w:pPr>
              <w:spacing w:before="16" w:after="16" w:line="240" w:lineRule="auto"/>
              <w:jc w:val="center"/>
            </w:pPr>
            <w:r>
              <w:rPr>
                <w:b/>
              </w:rPr>
              <w:t>●</w:t>
            </w:r>
          </w:p>
        </w:tc>
        <w:tc>
          <w:tcPr>
            <w:tcW w:w="737" w:type="dxa"/>
            <w:vAlign w:val="center"/>
          </w:tcPr>
          <w:p w14:paraId="484C2453" w14:textId="77777777" w:rsidR="00FF3B0F" w:rsidRDefault="005306D5">
            <w:pPr>
              <w:spacing w:before="16" w:after="16" w:line="240" w:lineRule="auto"/>
              <w:jc w:val="center"/>
            </w:pPr>
            <w:r>
              <w:rPr>
                <w:b/>
              </w:rPr>
              <w:t>●</w:t>
            </w:r>
          </w:p>
        </w:tc>
      </w:tr>
      <w:tr w:rsidR="00FF3B0F" w14:paraId="5A96F076" w14:textId="77777777">
        <w:trPr>
          <w:cantSplit/>
          <w:trHeight w:hRule="exact" w:val="652"/>
          <w:jc w:val="center"/>
        </w:trPr>
        <w:tc>
          <w:tcPr>
            <w:tcW w:w="6123" w:type="dxa"/>
            <w:shd w:val="clear" w:color="auto" w:fill="F7F7F7"/>
            <w:vAlign w:val="center"/>
          </w:tcPr>
          <w:p w14:paraId="0C8034D6" w14:textId="77777777" w:rsidR="00FF3B0F" w:rsidRDefault="005306D5">
            <w:pPr>
              <w:spacing w:before="16" w:after="16" w:line="240" w:lineRule="auto"/>
              <w:ind w:left="142"/>
            </w:pPr>
            <w:r>
              <w:rPr>
                <w:b/>
                <w:color w:val="1F3B63"/>
              </w:rPr>
              <w:t xml:space="preserve">4.1.4  </w:t>
            </w:r>
            <w:r>
              <w:t>Facilidad para adaptar el sistema a un cambio del negocio</w:t>
            </w:r>
          </w:p>
        </w:tc>
        <w:tc>
          <w:tcPr>
            <w:tcW w:w="737" w:type="dxa"/>
            <w:shd w:val="clear" w:color="auto" w:fill="F7F7F7"/>
            <w:vAlign w:val="center"/>
          </w:tcPr>
          <w:p w14:paraId="2D779A9C" w14:textId="77777777" w:rsidR="00FF3B0F" w:rsidRDefault="005306D5">
            <w:pPr>
              <w:spacing w:before="16" w:after="16" w:line="240" w:lineRule="auto"/>
              <w:jc w:val="center"/>
            </w:pPr>
            <w:r>
              <w:rPr>
                <w:b/>
              </w:rPr>
              <w:t>○</w:t>
            </w:r>
          </w:p>
        </w:tc>
        <w:tc>
          <w:tcPr>
            <w:tcW w:w="737" w:type="dxa"/>
            <w:shd w:val="clear" w:color="auto" w:fill="F7F7F7"/>
            <w:vAlign w:val="center"/>
          </w:tcPr>
          <w:p w14:paraId="6073143C" w14:textId="77777777" w:rsidR="00FF3B0F" w:rsidRDefault="005306D5">
            <w:pPr>
              <w:spacing w:before="16" w:after="16" w:line="240" w:lineRule="auto"/>
              <w:jc w:val="center"/>
            </w:pPr>
            <w:r>
              <w:rPr>
                <w:b/>
              </w:rPr>
              <w:t>○</w:t>
            </w:r>
          </w:p>
        </w:tc>
        <w:tc>
          <w:tcPr>
            <w:tcW w:w="737" w:type="dxa"/>
            <w:shd w:val="clear" w:color="auto" w:fill="F7F7F7"/>
            <w:vAlign w:val="center"/>
          </w:tcPr>
          <w:p w14:paraId="39DC192A" w14:textId="77777777" w:rsidR="00FF3B0F" w:rsidRDefault="005306D5">
            <w:pPr>
              <w:spacing w:before="16" w:after="16" w:line="240" w:lineRule="auto"/>
              <w:jc w:val="center"/>
            </w:pPr>
            <w:r>
              <w:rPr>
                <w:b/>
              </w:rPr>
              <w:t>○</w:t>
            </w:r>
          </w:p>
        </w:tc>
        <w:tc>
          <w:tcPr>
            <w:tcW w:w="737" w:type="dxa"/>
            <w:shd w:val="clear" w:color="auto" w:fill="F7F7F7"/>
            <w:vAlign w:val="center"/>
          </w:tcPr>
          <w:p w14:paraId="4BBE3227" w14:textId="77777777" w:rsidR="00FF3B0F" w:rsidRDefault="005306D5">
            <w:pPr>
              <w:spacing w:before="16" w:after="16" w:line="240" w:lineRule="auto"/>
              <w:jc w:val="center"/>
            </w:pPr>
            <w:r>
              <w:rPr>
                <w:b/>
              </w:rPr>
              <w:t>●</w:t>
            </w:r>
          </w:p>
        </w:tc>
      </w:tr>
      <w:tr w:rsidR="00FF3B0F" w14:paraId="4413AF03" w14:textId="77777777">
        <w:trPr>
          <w:cantSplit/>
          <w:trHeight w:hRule="exact" w:val="652"/>
          <w:jc w:val="center"/>
        </w:trPr>
        <w:tc>
          <w:tcPr>
            <w:tcW w:w="6123" w:type="dxa"/>
            <w:vAlign w:val="center"/>
          </w:tcPr>
          <w:p w14:paraId="6B93C717" w14:textId="77777777" w:rsidR="00FF3B0F" w:rsidRDefault="005306D5">
            <w:pPr>
              <w:spacing w:before="16" w:after="16" w:line="240" w:lineRule="auto"/>
              <w:ind w:left="142"/>
            </w:pPr>
            <w:r>
              <w:rPr>
                <w:b/>
                <w:color w:val="1F3B63"/>
              </w:rPr>
              <w:t xml:space="preserve">4.1.5  </w:t>
            </w:r>
            <w:r>
              <w:t>Dimensionamiento según el uso real del sistema</w:t>
            </w:r>
          </w:p>
        </w:tc>
        <w:tc>
          <w:tcPr>
            <w:tcW w:w="737" w:type="dxa"/>
            <w:vAlign w:val="center"/>
          </w:tcPr>
          <w:p w14:paraId="1F49B099" w14:textId="77777777" w:rsidR="00FF3B0F" w:rsidRDefault="005306D5">
            <w:pPr>
              <w:spacing w:before="16" w:after="16" w:line="240" w:lineRule="auto"/>
              <w:jc w:val="center"/>
            </w:pPr>
            <w:r>
              <w:rPr>
                <w:b/>
              </w:rPr>
              <w:t>●</w:t>
            </w:r>
          </w:p>
        </w:tc>
        <w:tc>
          <w:tcPr>
            <w:tcW w:w="737" w:type="dxa"/>
            <w:vAlign w:val="center"/>
          </w:tcPr>
          <w:p w14:paraId="69089F24" w14:textId="77777777" w:rsidR="00FF3B0F" w:rsidRDefault="005306D5">
            <w:pPr>
              <w:spacing w:before="16" w:after="16" w:line="240" w:lineRule="auto"/>
              <w:jc w:val="center"/>
            </w:pPr>
            <w:r>
              <w:rPr>
                <w:b/>
              </w:rPr>
              <w:t>●</w:t>
            </w:r>
          </w:p>
        </w:tc>
        <w:tc>
          <w:tcPr>
            <w:tcW w:w="737" w:type="dxa"/>
            <w:vAlign w:val="center"/>
          </w:tcPr>
          <w:p w14:paraId="0ACE25D0" w14:textId="77777777" w:rsidR="00FF3B0F" w:rsidRDefault="005306D5">
            <w:pPr>
              <w:spacing w:before="16" w:after="16" w:line="240" w:lineRule="auto"/>
              <w:jc w:val="center"/>
            </w:pPr>
            <w:r>
              <w:rPr>
                <w:b/>
              </w:rPr>
              <w:t>○</w:t>
            </w:r>
          </w:p>
        </w:tc>
        <w:tc>
          <w:tcPr>
            <w:tcW w:w="737" w:type="dxa"/>
            <w:vAlign w:val="center"/>
          </w:tcPr>
          <w:p w14:paraId="218D4819" w14:textId="77777777" w:rsidR="00FF3B0F" w:rsidRDefault="005306D5">
            <w:pPr>
              <w:spacing w:before="16" w:after="16" w:line="240" w:lineRule="auto"/>
              <w:jc w:val="center"/>
            </w:pPr>
            <w:r>
              <w:rPr>
                <w:b/>
              </w:rPr>
              <w:t>○</w:t>
            </w:r>
          </w:p>
        </w:tc>
      </w:tr>
      <w:tr w:rsidR="00FF3B0F" w14:paraId="771C664D" w14:textId="77777777">
        <w:trPr>
          <w:cantSplit/>
          <w:jc w:val="center"/>
        </w:trPr>
        <w:tc>
          <w:tcPr>
            <w:tcW w:w="737" w:type="dxa"/>
            <w:gridSpan w:val="5"/>
            <w:shd w:val="clear" w:color="auto" w:fill="E4E9F0"/>
            <w:vAlign w:val="center"/>
          </w:tcPr>
          <w:p w14:paraId="422DEE51" w14:textId="77777777" w:rsidR="00FF3B0F" w:rsidRDefault="005306D5">
            <w:pPr>
              <w:spacing w:before="60" w:after="40" w:line="240" w:lineRule="auto"/>
            </w:pPr>
            <w:r>
              <w:rPr>
                <w:b/>
                <w:color w:val="1F3B63"/>
              </w:rPr>
              <w:t>4.2 Costos y su estructura</w:t>
            </w:r>
          </w:p>
        </w:tc>
      </w:tr>
      <w:tr w:rsidR="00FF3B0F" w14:paraId="57308688" w14:textId="77777777">
        <w:trPr>
          <w:cantSplit/>
          <w:trHeight w:hRule="exact" w:val="652"/>
          <w:jc w:val="center"/>
        </w:trPr>
        <w:tc>
          <w:tcPr>
            <w:tcW w:w="6123" w:type="dxa"/>
            <w:vAlign w:val="center"/>
          </w:tcPr>
          <w:p w14:paraId="178D7FC0" w14:textId="77777777" w:rsidR="00FF3B0F" w:rsidRDefault="005306D5">
            <w:pPr>
              <w:spacing w:before="16" w:after="16" w:line="240" w:lineRule="auto"/>
              <w:ind w:left="142"/>
            </w:pPr>
            <w:r>
              <w:rPr>
                <w:b/>
                <w:color w:val="1F3B63"/>
              </w:rPr>
              <w:t xml:space="preserve">4.2.1  </w:t>
            </w:r>
            <w:r>
              <w:t>Capacidad de absorber un desvío extremo sin comprometer a la empresa</w:t>
            </w:r>
          </w:p>
        </w:tc>
        <w:tc>
          <w:tcPr>
            <w:tcW w:w="737" w:type="dxa"/>
            <w:vAlign w:val="center"/>
          </w:tcPr>
          <w:p w14:paraId="2A6AB242" w14:textId="77777777" w:rsidR="00FF3B0F" w:rsidRDefault="005306D5">
            <w:pPr>
              <w:spacing w:before="16" w:after="16" w:line="240" w:lineRule="auto"/>
              <w:jc w:val="center"/>
            </w:pPr>
            <w:r>
              <w:rPr>
                <w:b/>
              </w:rPr>
              <w:t>○</w:t>
            </w:r>
          </w:p>
        </w:tc>
        <w:tc>
          <w:tcPr>
            <w:tcW w:w="737" w:type="dxa"/>
            <w:vAlign w:val="center"/>
          </w:tcPr>
          <w:p w14:paraId="5A4548B8" w14:textId="77777777" w:rsidR="00FF3B0F" w:rsidRDefault="005306D5">
            <w:pPr>
              <w:spacing w:before="16" w:after="16" w:line="240" w:lineRule="auto"/>
              <w:jc w:val="center"/>
            </w:pPr>
            <w:r>
              <w:rPr>
                <w:b/>
              </w:rPr>
              <w:t>○</w:t>
            </w:r>
          </w:p>
        </w:tc>
        <w:tc>
          <w:tcPr>
            <w:tcW w:w="737" w:type="dxa"/>
            <w:vAlign w:val="center"/>
          </w:tcPr>
          <w:p w14:paraId="2F03A445" w14:textId="77777777" w:rsidR="00FF3B0F" w:rsidRDefault="005306D5">
            <w:pPr>
              <w:spacing w:before="16" w:after="16" w:line="240" w:lineRule="auto"/>
              <w:jc w:val="center"/>
            </w:pPr>
            <w:r>
              <w:rPr>
                <w:b/>
              </w:rPr>
              <w:t>●</w:t>
            </w:r>
          </w:p>
        </w:tc>
        <w:tc>
          <w:tcPr>
            <w:tcW w:w="737" w:type="dxa"/>
            <w:vAlign w:val="center"/>
          </w:tcPr>
          <w:p w14:paraId="39C1B459" w14:textId="77777777" w:rsidR="00FF3B0F" w:rsidRDefault="005306D5">
            <w:pPr>
              <w:spacing w:before="16" w:after="16" w:line="240" w:lineRule="auto"/>
              <w:jc w:val="center"/>
            </w:pPr>
            <w:r>
              <w:rPr>
                <w:b/>
              </w:rPr>
              <w:t>○</w:t>
            </w:r>
          </w:p>
        </w:tc>
      </w:tr>
      <w:tr w:rsidR="00FF3B0F" w14:paraId="355CF4A3" w14:textId="77777777">
        <w:trPr>
          <w:cantSplit/>
          <w:trHeight w:hRule="exact" w:val="652"/>
          <w:jc w:val="center"/>
        </w:trPr>
        <w:tc>
          <w:tcPr>
            <w:tcW w:w="6123" w:type="dxa"/>
            <w:shd w:val="clear" w:color="auto" w:fill="F7F7F7"/>
            <w:vAlign w:val="center"/>
          </w:tcPr>
          <w:p w14:paraId="7BA60531" w14:textId="77777777" w:rsidR="00FF3B0F" w:rsidRDefault="005306D5">
            <w:pPr>
              <w:spacing w:before="16" w:after="16" w:line="240" w:lineRule="auto"/>
              <w:ind w:left="142"/>
            </w:pPr>
            <w:r>
              <w:rPr>
                <w:b/>
                <w:color w:val="1F3B63"/>
              </w:rPr>
              <w:t xml:space="preserve">4.2.2  </w:t>
            </w:r>
            <w:r>
              <w:t>Visibilidad de la deuda técnica que se acumula</w:t>
            </w:r>
          </w:p>
        </w:tc>
        <w:tc>
          <w:tcPr>
            <w:tcW w:w="737" w:type="dxa"/>
            <w:shd w:val="clear" w:color="auto" w:fill="F7F7F7"/>
            <w:vAlign w:val="center"/>
          </w:tcPr>
          <w:p w14:paraId="2B221752" w14:textId="77777777" w:rsidR="00FF3B0F" w:rsidRDefault="005306D5">
            <w:pPr>
              <w:spacing w:before="16" w:after="16" w:line="240" w:lineRule="auto"/>
              <w:jc w:val="center"/>
            </w:pPr>
            <w:r>
              <w:rPr>
                <w:b/>
              </w:rPr>
              <w:t>●</w:t>
            </w:r>
          </w:p>
        </w:tc>
        <w:tc>
          <w:tcPr>
            <w:tcW w:w="737" w:type="dxa"/>
            <w:shd w:val="clear" w:color="auto" w:fill="F7F7F7"/>
            <w:vAlign w:val="center"/>
          </w:tcPr>
          <w:p w14:paraId="55E57BA1" w14:textId="77777777" w:rsidR="00FF3B0F" w:rsidRDefault="005306D5">
            <w:pPr>
              <w:spacing w:before="16" w:after="16" w:line="240" w:lineRule="auto"/>
              <w:jc w:val="center"/>
            </w:pPr>
            <w:r>
              <w:rPr>
                <w:b/>
              </w:rPr>
              <w:t>○</w:t>
            </w:r>
          </w:p>
        </w:tc>
        <w:tc>
          <w:tcPr>
            <w:tcW w:w="737" w:type="dxa"/>
            <w:shd w:val="clear" w:color="auto" w:fill="F7F7F7"/>
            <w:vAlign w:val="center"/>
          </w:tcPr>
          <w:p w14:paraId="5FC4BD55" w14:textId="77777777" w:rsidR="00FF3B0F" w:rsidRDefault="005306D5">
            <w:pPr>
              <w:spacing w:before="16" w:after="16" w:line="240" w:lineRule="auto"/>
              <w:jc w:val="center"/>
            </w:pPr>
            <w:r>
              <w:rPr>
                <w:b/>
              </w:rPr>
              <w:t>○</w:t>
            </w:r>
          </w:p>
        </w:tc>
        <w:tc>
          <w:tcPr>
            <w:tcW w:w="737" w:type="dxa"/>
            <w:shd w:val="clear" w:color="auto" w:fill="F7F7F7"/>
            <w:vAlign w:val="center"/>
          </w:tcPr>
          <w:p w14:paraId="19A04AA9" w14:textId="77777777" w:rsidR="00FF3B0F" w:rsidRDefault="005306D5">
            <w:pPr>
              <w:spacing w:before="16" w:after="16" w:line="240" w:lineRule="auto"/>
              <w:jc w:val="center"/>
            </w:pPr>
            <w:r>
              <w:rPr>
                <w:b/>
              </w:rPr>
              <w:t>○</w:t>
            </w:r>
          </w:p>
        </w:tc>
      </w:tr>
      <w:tr w:rsidR="00FF3B0F" w14:paraId="0E43F7CD" w14:textId="77777777">
        <w:trPr>
          <w:cantSplit/>
          <w:jc w:val="center"/>
        </w:trPr>
        <w:tc>
          <w:tcPr>
            <w:tcW w:w="737" w:type="dxa"/>
            <w:gridSpan w:val="5"/>
            <w:shd w:val="clear" w:color="auto" w:fill="E4E9F0"/>
            <w:vAlign w:val="center"/>
          </w:tcPr>
          <w:p w14:paraId="4A21D061" w14:textId="77777777" w:rsidR="00FF3B0F" w:rsidRDefault="005306D5">
            <w:pPr>
              <w:spacing w:before="60" w:after="40" w:line="240" w:lineRule="auto"/>
            </w:pPr>
            <w:r>
              <w:rPr>
                <w:b/>
                <w:color w:val="1F3B63"/>
              </w:rPr>
              <w:t>4.3 Tiempos y riesgos</w:t>
            </w:r>
          </w:p>
        </w:tc>
      </w:tr>
      <w:tr w:rsidR="00FF3B0F" w14:paraId="49754EEE" w14:textId="77777777">
        <w:trPr>
          <w:cantSplit/>
          <w:trHeight w:hRule="exact" w:val="652"/>
          <w:jc w:val="center"/>
        </w:trPr>
        <w:tc>
          <w:tcPr>
            <w:tcW w:w="6123" w:type="dxa"/>
            <w:vAlign w:val="center"/>
          </w:tcPr>
          <w:p w14:paraId="60862FCA" w14:textId="77777777" w:rsidR="00FF3B0F" w:rsidRDefault="005306D5">
            <w:pPr>
              <w:spacing w:before="16" w:after="16" w:line="240" w:lineRule="auto"/>
              <w:ind w:left="142"/>
            </w:pPr>
            <w:r>
              <w:rPr>
                <w:b/>
                <w:color w:val="1F3B63"/>
              </w:rPr>
              <w:t xml:space="preserve">4.3.1  </w:t>
            </w:r>
            <w:r>
              <w:t>Rapidez para entrar en operación</w:t>
            </w:r>
          </w:p>
        </w:tc>
        <w:tc>
          <w:tcPr>
            <w:tcW w:w="737" w:type="dxa"/>
            <w:vAlign w:val="center"/>
          </w:tcPr>
          <w:p w14:paraId="16E43AB1" w14:textId="77777777" w:rsidR="00FF3B0F" w:rsidRDefault="005306D5">
            <w:pPr>
              <w:spacing w:before="16" w:after="16" w:line="240" w:lineRule="auto"/>
              <w:jc w:val="center"/>
            </w:pPr>
            <w:r>
              <w:rPr>
                <w:b/>
              </w:rPr>
              <w:t>○</w:t>
            </w:r>
          </w:p>
        </w:tc>
        <w:tc>
          <w:tcPr>
            <w:tcW w:w="737" w:type="dxa"/>
            <w:vAlign w:val="center"/>
          </w:tcPr>
          <w:p w14:paraId="4CAC57C4" w14:textId="77777777" w:rsidR="00FF3B0F" w:rsidRDefault="005306D5">
            <w:pPr>
              <w:spacing w:before="16" w:after="16" w:line="240" w:lineRule="auto"/>
              <w:jc w:val="center"/>
            </w:pPr>
            <w:r>
              <w:rPr>
                <w:b/>
              </w:rPr>
              <w:t>○</w:t>
            </w:r>
          </w:p>
        </w:tc>
        <w:tc>
          <w:tcPr>
            <w:tcW w:w="737" w:type="dxa"/>
            <w:vAlign w:val="center"/>
          </w:tcPr>
          <w:p w14:paraId="0AAFCE47" w14:textId="77777777" w:rsidR="00FF3B0F" w:rsidRDefault="005306D5">
            <w:pPr>
              <w:spacing w:before="16" w:after="16" w:line="240" w:lineRule="auto"/>
              <w:jc w:val="center"/>
            </w:pPr>
            <w:r>
              <w:rPr>
                <w:b/>
              </w:rPr>
              <w:t>●</w:t>
            </w:r>
          </w:p>
        </w:tc>
        <w:tc>
          <w:tcPr>
            <w:tcW w:w="737" w:type="dxa"/>
            <w:vAlign w:val="center"/>
          </w:tcPr>
          <w:p w14:paraId="158925A1" w14:textId="77777777" w:rsidR="00FF3B0F" w:rsidRDefault="005306D5">
            <w:pPr>
              <w:spacing w:before="16" w:after="16" w:line="240" w:lineRule="auto"/>
              <w:jc w:val="center"/>
            </w:pPr>
            <w:r>
              <w:rPr>
                <w:b/>
              </w:rPr>
              <w:t>○</w:t>
            </w:r>
          </w:p>
        </w:tc>
      </w:tr>
      <w:tr w:rsidR="00FF3B0F" w14:paraId="3A6A48FC" w14:textId="77777777">
        <w:trPr>
          <w:cantSplit/>
          <w:trHeight w:hRule="exact" w:val="652"/>
          <w:jc w:val="center"/>
        </w:trPr>
        <w:tc>
          <w:tcPr>
            <w:tcW w:w="6123" w:type="dxa"/>
            <w:shd w:val="clear" w:color="auto" w:fill="F7F7F7"/>
            <w:vAlign w:val="center"/>
          </w:tcPr>
          <w:p w14:paraId="3461D834" w14:textId="77777777" w:rsidR="00FF3B0F" w:rsidRDefault="005306D5">
            <w:pPr>
              <w:spacing w:before="16" w:after="16" w:line="240" w:lineRule="auto"/>
              <w:ind w:left="142"/>
            </w:pPr>
            <w:r>
              <w:rPr>
                <w:b/>
                <w:color w:val="1F3B63"/>
              </w:rPr>
              <w:t xml:space="preserve">4.3.2  </w:t>
            </w:r>
            <w:r>
              <w:t>Previsibilidad del plazo, el costo y el alcance entregado</w:t>
            </w:r>
          </w:p>
        </w:tc>
        <w:tc>
          <w:tcPr>
            <w:tcW w:w="737" w:type="dxa"/>
            <w:shd w:val="clear" w:color="auto" w:fill="F7F7F7"/>
            <w:vAlign w:val="center"/>
          </w:tcPr>
          <w:p w14:paraId="28B01144" w14:textId="77777777" w:rsidR="00FF3B0F" w:rsidRDefault="005306D5">
            <w:pPr>
              <w:spacing w:before="16" w:after="16" w:line="240" w:lineRule="auto"/>
              <w:jc w:val="center"/>
            </w:pPr>
            <w:r>
              <w:rPr>
                <w:b/>
              </w:rPr>
              <w:t>○</w:t>
            </w:r>
          </w:p>
        </w:tc>
        <w:tc>
          <w:tcPr>
            <w:tcW w:w="737" w:type="dxa"/>
            <w:shd w:val="clear" w:color="auto" w:fill="F7F7F7"/>
            <w:vAlign w:val="center"/>
          </w:tcPr>
          <w:p w14:paraId="05933765" w14:textId="77777777" w:rsidR="00FF3B0F" w:rsidRDefault="005306D5">
            <w:pPr>
              <w:spacing w:before="16" w:after="16" w:line="240" w:lineRule="auto"/>
              <w:jc w:val="center"/>
            </w:pPr>
            <w:r>
              <w:rPr>
                <w:b/>
              </w:rPr>
              <w:t>○</w:t>
            </w:r>
          </w:p>
        </w:tc>
        <w:tc>
          <w:tcPr>
            <w:tcW w:w="737" w:type="dxa"/>
            <w:shd w:val="clear" w:color="auto" w:fill="F7F7F7"/>
            <w:vAlign w:val="center"/>
          </w:tcPr>
          <w:p w14:paraId="7BC0E16C" w14:textId="77777777" w:rsidR="00FF3B0F" w:rsidRDefault="005306D5">
            <w:pPr>
              <w:spacing w:before="16" w:after="16" w:line="240" w:lineRule="auto"/>
              <w:jc w:val="center"/>
            </w:pPr>
            <w:r>
              <w:rPr>
                <w:b/>
              </w:rPr>
              <w:t>●</w:t>
            </w:r>
          </w:p>
        </w:tc>
        <w:tc>
          <w:tcPr>
            <w:tcW w:w="737" w:type="dxa"/>
            <w:shd w:val="clear" w:color="auto" w:fill="F7F7F7"/>
            <w:vAlign w:val="center"/>
          </w:tcPr>
          <w:p w14:paraId="3194F43B" w14:textId="77777777" w:rsidR="00FF3B0F" w:rsidRDefault="005306D5">
            <w:pPr>
              <w:spacing w:before="16" w:after="16" w:line="240" w:lineRule="auto"/>
              <w:jc w:val="center"/>
            </w:pPr>
            <w:r>
              <w:rPr>
                <w:b/>
              </w:rPr>
              <w:t>○</w:t>
            </w:r>
          </w:p>
        </w:tc>
      </w:tr>
      <w:tr w:rsidR="00FF3B0F" w14:paraId="01912E38" w14:textId="77777777">
        <w:trPr>
          <w:cantSplit/>
          <w:trHeight w:hRule="exact" w:val="652"/>
          <w:jc w:val="center"/>
        </w:trPr>
        <w:tc>
          <w:tcPr>
            <w:tcW w:w="6123" w:type="dxa"/>
            <w:vAlign w:val="center"/>
          </w:tcPr>
          <w:p w14:paraId="1A7EC550" w14:textId="77777777" w:rsidR="00FF3B0F" w:rsidRDefault="005306D5">
            <w:pPr>
              <w:spacing w:before="16" w:after="16" w:line="240" w:lineRule="auto"/>
              <w:ind w:left="142"/>
            </w:pPr>
            <w:r>
              <w:rPr>
                <w:b/>
                <w:color w:val="1F3B63"/>
              </w:rPr>
              <w:t xml:space="preserve">4.3.3  </w:t>
            </w:r>
            <w:r>
              <w:t>Conocimiento del producto disponible antes de comprometerse</w:t>
            </w:r>
          </w:p>
        </w:tc>
        <w:tc>
          <w:tcPr>
            <w:tcW w:w="737" w:type="dxa"/>
            <w:vAlign w:val="center"/>
          </w:tcPr>
          <w:p w14:paraId="0C6458C5" w14:textId="77777777" w:rsidR="00FF3B0F" w:rsidRDefault="005306D5">
            <w:pPr>
              <w:spacing w:before="16" w:after="16" w:line="240" w:lineRule="auto"/>
              <w:jc w:val="center"/>
            </w:pPr>
            <w:r>
              <w:rPr>
                <w:b/>
              </w:rPr>
              <w:t>○</w:t>
            </w:r>
          </w:p>
        </w:tc>
        <w:tc>
          <w:tcPr>
            <w:tcW w:w="737" w:type="dxa"/>
            <w:vAlign w:val="center"/>
          </w:tcPr>
          <w:p w14:paraId="00AE34B8" w14:textId="77777777" w:rsidR="00FF3B0F" w:rsidRDefault="005306D5">
            <w:pPr>
              <w:spacing w:before="16" w:after="16" w:line="240" w:lineRule="auto"/>
              <w:jc w:val="center"/>
            </w:pPr>
            <w:r>
              <w:rPr>
                <w:b/>
              </w:rPr>
              <w:t>○</w:t>
            </w:r>
          </w:p>
        </w:tc>
        <w:tc>
          <w:tcPr>
            <w:tcW w:w="737" w:type="dxa"/>
            <w:vAlign w:val="center"/>
          </w:tcPr>
          <w:p w14:paraId="36291E55" w14:textId="77777777" w:rsidR="00FF3B0F" w:rsidRDefault="005306D5">
            <w:pPr>
              <w:spacing w:before="16" w:after="16" w:line="240" w:lineRule="auto"/>
              <w:jc w:val="center"/>
            </w:pPr>
            <w:r>
              <w:rPr>
                <w:b/>
              </w:rPr>
              <w:t>●</w:t>
            </w:r>
          </w:p>
        </w:tc>
        <w:tc>
          <w:tcPr>
            <w:tcW w:w="737" w:type="dxa"/>
            <w:vAlign w:val="center"/>
          </w:tcPr>
          <w:p w14:paraId="627D7227" w14:textId="77777777" w:rsidR="00FF3B0F" w:rsidRDefault="005306D5">
            <w:pPr>
              <w:spacing w:before="16" w:after="16" w:line="240" w:lineRule="auto"/>
              <w:jc w:val="center"/>
            </w:pPr>
            <w:r>
              <w:rPr>
                <w:b/>
              </w:rPr>
              <w:t>●</w:t>
            </w:r>
          </w:p>
        </w:tc>
      </w:tr>
      <w:tr w:rsidR="00FF3B0F" w14:paraId="4EC587E0" w14:textId="77777777">
        <w:trPr>
          <w:cantSplit/>
          <w:jc w:val="center"/>
        </w:trPr>
        <w:tc>
          <w:tcPr>
            <w:tcW w:w="737" w:type="dxa"/>
            <w:gridSpan w:val="5"/>
            <w:shd w:val="clear" w:color="auto" w:fill="E4E9F0"/>
            <w:vAlign w:val="center"/>
          </w:tcPr>
          <w:p w14:paraId="39A6CAF9" w14:textId="77777777" w:rsidR="00FF3B0F" w:rsidRDefault="005306D5">
            <w:pPr>
              <w:spacing w:before="60" w:after="40" w:line="240" w:lineRule="auto"/>
            </w:pPr>
            <w:r>
              <w:rPr>
                <w:b/>
                <w:color w:val="1F3B63"/>
              </w:rPr>
              <w:t>4.4 Soporte y mantenimiento</w:t>
            </w:r>
          </w:p>
        </w:tc>
      </w:tr>
      <w:tr w:rsidR="00FF3B0F" w14:paraId="39ED2F3E" w14:textId="77777777">
        <w:trPr>
          <w:cantSplit/>
          <w:trHeight w:hRule="exact" w:val="652"/>
          <w:jc w:val="center"/>
        </w:trPr>
        <w:tc>
          <w:tcPr>
            <w:tcW w:w="6123" w:type="dxa"/>
            <w:vAlign w:val="center"/>
          </w:tcPr>
          <w:p w14:paraId="0AFA8461" w14:textId="77777777" w:rsidR="00FF3B0F" w:rsidRDefault="005306D5">
            <w:pPr>
              <w:spacing w:before="16" w:after="16" w:line="240" w:lineRule="auto"/>
              <w:ind w:left="142"/>
            </w:pPr>
            <w:r>
              <w:rPr>
                <w:b/>
                <w:color w:val="1F3B63"/>
              </w:rPr>
              <w:t xml:space="preserve">4.4.1  </w:t>
            </w:r>
            <w:r>
              <w:t>Correcciones de seguridad y puesta al día del sistema</w:t>
            </w:r>
          </w:p>
        </w:tc>
        <w:tc>
          <w:tcPr>
            <w:tcW w:w="737" w:type="dxa"/>
            <w:vAlign w:val="center"/>
          </w:tcPr>
          <w:p w14:paraId="47B53536" w14:textId="77777777" w:rsidR="00FF3B0F" w:rsidRDefault="005306D5">
            <w:pPr>
              <w:spacing w:before="16" w:after="16" w:line="240" w:lineRule="auto"/>
              <w:jc w:val="center"/>
            </w:pPr>
            <w:r>
              <w:rPr>
                <w:b/>
              </w:rPr>
              <w:t>○</w:t>
            </w:r>
          </w:p>
        </w:tc>
        <w:tc>
          <w:tcPr>
            <w:tcW w:w="737" w:type="dxa"/>
            <w:vAlign w:val="center"/>
          </w:tcPr>
          <w:p w14:paraId="0DC72665" w14:textId="77777777" w:rsidR="00FF3B0F" w:rsidRDefault="005306D5">
            <w:pPr>
              <w:spacing w:before="16" w:after="16" w:line="240" w:lineRule="auto"/>
              <w:jc w:val="center"/>
            </w:pPr>
            <w:r>
              <w:rPr>
                <w:b/>
              </w:rPr>
              <w:t>○</w:t>
            </w:r>
          </w:p>
        </w:tc>
        <w:tc>
          <w:tcPr>
            <w:tcW w:w="737" w:type="dxa"/>
            <w:vAlign w:val="center"/>
          </w:tcPr>
          <w:p w14:paraId="2C18B900" w14:textId="77777777" w:rsidR="00FF3B0F" w:rsidRDefault="005306D5">
            <w:pPr>
              <w:spacing w:before="16" w:after="16" w:line="240" w:lineRule="auto"/>
              <w:jc w:val="center"/>
            </w:pPr>
            <w:r>
              <w:rPr>
                <w:b/>
              </w:rPr>
              <w:t>●</w:t>
            </w:r>
          </w:p>
        </w:tc>
        <w:tc>
          <w:tcPr>
            <w:tcW w:w="737" w:type="dxa"/>
            <w:vAlign w:val="center"/>
          </w:tcPr>
          <w:p w14:paraId="4B7DF357" w14:textId="77777777" w:rsidR="00FF3B0F" w:rsidRDefault="005306D5">
            <w:pPr>
              <w:spacing w:before="16" w:after="16" w:line="240" w:lineRule="auto"/>
              <w:jc w:val="center"/>
            </w:pPr>
            <w:r>
              <w:rPr>
                <w:b/>
              </w:rPr>
              <w:t>●</w:t>
            </w:r>
          </w:p>
        </w:tc>
      </w:tr>
      <w:tr w:rsidR="00FF3B0F" w14:paraId="30E2D744" w14:textId="77777777">
        <w:trPr>
          <w:cantSplit/>
          <w:trHeight w:hRule="exact" w:val="652"/>
          <w:jc w:val="center"/>
        </w:trPr>
        <w:tc>
          <w:tcPr>
            <w:tcW w:w="6123" w:type="dxa"/>
            <w:shd w:val="clear" w:color="auto" w:fill="F7F7F7"/>
            <w:vAlign w:val="center"/>
          </w:tcPr>
          <w:p w14:paraId="5B3A20CF" w14:textId="77777777" w:rsidR="00FF3B0F" w:rsidRDefault="005306D5">
            <w:pPr>
              <w:spacing w:before="16" w:after="16" w:line="240" w:lineRule="auto"/>
              <w:ind w:left="142"/>
            </w:pPr>
            <w:r>
              <w:rPr>
                <w:b/>
                <w:color w:val="1F3B63"/>
              </w:rPr>
              <w:t xml:space="preserve">4.4.2  </w:t>
            </w:r>
            <w:r>
              <w:t>Compromiso de disponibilidad declarado por escrito</w:t>
            </w:r>
          </w:p>
        </w:tc>
        <w:tc>
          <w:tcPr>
            <w:tcW w:w="737" w:type="dxa"/>
            <w:shd w:val="clear" w:color="auto" w:fill="F7F7F7"/>
            <w:vAlign w:val="center"/>
          </w:tcPr>
          <w:p w14:paraId="60098362" w14:textId="77777777" w:rsidR="00FF3B0F" w:rsidRDefault="005306D5">
            <w:pPr>
              <w:spacing w:before="16" w:after="16" w:line="240" w:lineRule="auto"/>
              <w:jc w:val="center"/>
            </w:pPr>
            <w:r>
              <w:rPr>
                <w:b/>
              </w:rPr>
              <w:t>○</w:t>
            </w:r>
          </w:p>
        </w:tc>
        <w:tc>
          <w:tcPr>
            <w:tcW w:w="737" w:type="dxa"/>
            <w:shd w:val="clear" w:color="auto" w:fill="F7F7F7"/>
            <w:vAlign w:val="center"/>
          </w:tcPr>
          <w:p w14:paraId="68022CCD" w14:textId="77777777" w:rsidR="00FF3B0F" w:rsidRDefault="005306D5">
            <w:pPr>
              <w:spacing w:before="16" w:after="16" w:line="240" w:lineRule="auto"/>
              <w:jc w:val="center"/>
            </w:pPr>
            <w:r>
              <w:rPr>
                <w:b/>
              </w:rPr>
              <w:t>○</w:t>
            </w:r>
          </w:p>
        </w:tc>
        <w:tc>
          <w:tcPr>
            <w:tcW w:w="737" w:type="dxa"/>
            <w:shd w:val="clear" w:color="auto" w:fill="F7F7F7"/>
            <w:vAlign w:val="center"/>
          </w:tcPr>
          <w:p w14:paraId="367DAB62" w14:textId="77777777" w:rsidR="00FF3B0F" w:rsidRDefault="005306D5">
            <w:pPr>
              <w:spacing w:before="16" w:after="16" w:line="240" w:lineRule="auto"/>
              <w:jc w:val="center"/>
            </w:pPr>
            <w:r>
              <w:rPr>
                <w:b/>
              </w:rPr>
              <w:t>●</w:t>
            </w:r>
          </w:p>
        </w:tc>
        <w:tc>
          <w:tcPr>
            <w:tcW w:w="737" w:type="dxa"/>
            <w:shd w:val="clear" w:color="auto" w:fill="F7F7F7"/>
            <w:vAlign w:val="center"/>
          </w:tcPr>
          <w:p w14:paraId="0E24B28F" w14:textId="77777777" w:rsidR="00FF3B0F" w:rsidRDefault="005306D5">
            <w:pPr>
              <w:spacing w:before="16" w:after="16" w:line="240" w:lineRule="auto"/>
              <w:jc w:val="center"/>
            </w:pPr>
            <w:r>
              <w:rPr>
                <w:b/>
              </w:rPr>
              <w:t>●</w:t>
            </w:r>
          </w:p>
        </w:tc>
      </w:tr>
      <w:tr w:rsidR="00FF3B0F" w14:paraId="39B10E4C" w14:textId="77777777">
        <w:trPr>
          <w:cantSplit/>
          <w:trHeight w:hRule="exact" w:val="652"/>
          <w:jc w:val="center"/>
        </w:trPr>
        <w:tc>
          <w:tcPr>
            <w:tcW w:w="6123" w:type="dxa"/>
            <w:vAlign w:val="center"/>
          </w:tcPr>
          <w:p w14:paraId="096911D7" w14:textId="77777777" w:rsidR="00FF3B0F" w:rsidRDefault="005306D5">
            <w:pPr>
              <w:spacing w:before="16" w:after="16" w:line="240" w:lineRule="auto"/>
              <w:ind w:left="142"/>
            </w:pPr>
            <w:r>
              <w:rPr>
                <w:b/>
                <w:color w:val="1F3B63"/>
              </w:rPr>
              <w:t xml:space="preserve">4.4.3  </w:t>
            </w:r>
            <w:r>
              <w:t>Disponibilidad de documentación, capacitación y conocimiento público del sistema</w:t>
            </w:r>
          </w:p>
        </w:tc>
        <w:tc>
          <w:tcPr>
            <w:tcW w:w="737" w:type="dxa"/>
            <w:vAlign w:val="center"/>
          </w:tcPr>
          <w:p w14:paraId="1EDE192F" w14:textId="77777777" w:rsidR="00FF3B0F" w:rsidRDefault="005306D5">
            <w:pPr>
              <w:spacing w:before="16" w:after="16" w:line="240" w:lineRule="auto"/>
              <w:jc w:val="center"/>
            </w:pPr>
            <w:r>
              <w:rPr>
                <w:b/>
              </w:rPr>
              <w:t>○</w:t>
            </w:r>
          </w:p>
        </w:tc>
        <w:tc>
          <w:tcPr>
            <w:tcW w:w="737" w:type="dxa"/>
            <w:vAlign w:val="center"/>
          </w:tcPr>
          <w:p w14:paraId="4978DCC4" w14:textId="77777777" w:rsidR="00FF3B0F" w:rsidRDefault="005306D5">
            <w:pPr>
              <w:spacing w:before="16" w:after="16" w:line="240" w:lineRule="auto"/>
              <w:jc w:val="center"/>
            </w:pPr>
            <w:r>
              <w:rPr>
                <w:b/>
              </w:rPr>
              <w:t>○</w:t>
            </w:r>
          </w:p>
        </w:tc>
        <w:tc>
          <w:tcPr>
            <w:tcW w:w="737" w:type="dxa"/>
            <w:vAlign w:val="center"/>
          </w:tcPr>
          <w:p w14:paraId="3CBA29FD" w14:textId="77777777" w:rsidR="00FF3B0F" w:rsidRDefault="005306D5">
            <w:pPr>
              <w:spacing w:before="16" w:after="16" w:line="240" w:lineRule="auto"/>
              <w:jc w:val="center"/>
            </w:pPr>
            <w:r>
              <w:rPr>
                <w:b/>
              </w:rPr>
              <w:t>●</w:t>
            </w:r>
          </w:p>
        </w:tc>
        <w:tc>
          <w:tcPr>
            <w:tcW w:w="737" w:type="dxa"/>
            <w:vAlign w:val="center"/>
          </w:tcPr>
          <w:p w14:paraId="4CE9A022" w14:textId="77777777" w:rsidR="00FF3B0F" w:rsidRDefault="005306D5">
            <w:pPr>
              <w:spacing w:before="16" w:after="16" w:line="240" w:lineRule="auto"/>
              <w:jc w:val="center"/>
            </w:pPr>
            <w:r>
              <w:rPr>
                <w:b/>
              </w:rPr>
              <w:t>●</w:t>
            </w:r>
          </w:p>
        </w:tc>
      </w:tr>
      <w:tr w:rsidR="00FF3B0F" w14:paraId="7D8B8007" w14:textId="77777777">
        <w:trPr>
          <w:cantSplit/>
          <w:jc w:val="center"/>
        </w:trPr>
        <w:tc>
          <w:tcPr>
            <w:tcW w:w="737" w:type="dxa"/>
            <w:gridSpan w:val="5"/>
            <w:shd w:val="clear" w:color="auto" w:fill="E4E9F0"/>
            <w:vAlign w:val="center"/>
          </w:tcPr>
          <w:p w14:paraId="587E3A32" w14:textId="77777777" w:rsidR="00FF3B0F" w:rsidRDefault="005306D5">
            <w:pPr>
              <w:spacing w:before="60" w:after="40" w:line="240" w:lineRule="auto"/>
            </w:pPr>
            <w:r>
              <w:rPr>
                <w:b/>
                <w:color w:val="1F3B63"/>
              </w:rPr>
              <w:lastRenderedPageBreak/>
              <w:t>4.5 Obsolescencia</w:t>
            </w:r>
          </w:p>
        </w:tc>
      </w:tr>
      <w:tr w:rsidR="00FF3B0F" w14:paraId="70372FF4" w14:textId="77777777">
        <w:trPr>
          <w:cantSplit/>
          <w:trHeight w:hRule="exact" w:val="652"/>
          <w:jc w:val="center"/>
        </w:trPr>
        <w:tc>
          <w:tcPr>
            <w:tcW w:w="6123" w:type="dxa"/>
            <w:vAlign w:val="center"/>
          </w:tcPr>
          <w:p w14:paraId="6BBB9403" w14:textId="77777777" w:rsidR="00FF3B0F" w:rsidRDefault="005306D5">
            <w:pPr>
              <w:spacing w:before="16" w:after="16" w:line="240" w:lineRule="auto"/>
              <w:ind w:left="142"/>
            </w:pPr>
            <w:r>
              <w:rPr>
                <w:b/>
                <w:color w:val="1F3B63"/>
              </w:rPr>
              <w:t xml:space="preserve">4.5.1  </w:t>
            </w:r>
            <w:r>
              <w:t>Independencia del ciclo de vida comercial de un fabricante</w:t>
            </w:r>
          </w:p>
        </w:tc>
        <w:tc>
          <w:tcPr>
            <w:tcW w:w="737" w:type="dxa"/>
            <w:vAlign w:val="center"/>
          </w:tcPr>
          <w:p w14:paraId="162A2084" w14:textId="77777777" w:rsidR="00FF3B0F" w:rsidRDefault="005306D5">
            <w:pPr>
              <w:spacing w:before="16" w:after="16" w:line="240" w:lineRule="auto"/>
              <w:jc w:val="center"/>
            </w:pPr>
            <w:r>
              <w:rPr>
                <w:b/>
              </w:rPr>
              <w:t>●</w:t>
            </w:r>
          </w:p>
        </w:tc>
        <w:tc>
          <w:tcPr>
            <w:tcW w:w="737" w:type="dxa"/>
            <w:vAlign w:val="center"/>
          </w:tcPr>
          <w:p w14:paraId="692E314E" w14:textId="77777777" w:rsidR="00FF3B0F" w:rsidRDefault="005306D5">
            <w:pPr>
              <w:spacing w:before="16" w:after="16" w:line="240" w:lineRule="auto"/>
              <w:jc w:val="center"/>
            </w:pPr>
            <w:r>
              <w:rPr>
                <w:b/>
              </w:rPr>
              <w:t>●</w:t>
            </w:r>
          </w:p>
        </w:tc>
        <w:tc>
          <w:tcPr>
            <w:tcW w:w="737" w:type="dxa"/>
            <w:vAlign w:val="center"/>
          </w:tcPr>
          <w:p w14:paraId="2C2676DF" w14:textId="77777777" w:rsidR="00FF3B0F" w:rsidRDefault="005306D5">
            <w:pPr>
              <w:spacing w:before="16" w:after="16" w:line="240" w:lineRule="auto"/>
              <w:jc w:val="center"/>
            </w:pPr>
            <w:r>
              <w:rPr>
                <w:b/>
              </w:rPr>
              <w:t>○</w:t>
            </w:r>
          </w:p>
        </w:tc>
        <w:tc>
          <w:tcPr>
            <w:tcW w:w="737" w:type="dxa"/>
            <w:vAlign w:val="center"/>
          </w:tcPr>
          <w:p w14:paraId="5AAB1450" w14:textId="77777777" w:rsidR="00FF3B0F" w:rsidRDefault="005306D5">
            <w:pPr>
              <w:spacing w:before="16" w:after="16" w:line="240" w:lineRule="auto"/>
              <w:jc w:val="center"/>
            </w:pPr>
            <w:r>
              <w:rPr>
                <w:b/>
              </w:rPr>
              <w:t>○</w:t>
            </w:r>
          </w:p>
        </w:tc>
      </w:tr>
      <w:tr w:rsidR="00FF3B0F" w14:paraId="40987299" w14:textId="77777777">
        <w:trPr>
          <w:cantSplit/>
          <w:jc w:val="center"/>
        </w:trPr>
        <w:tc>
          <w:tcPr>
            <w:tcW w:w="737" w:type="dxa"/>
            <w:gridSpan w:val="5"/>
            <w:shd w:val="clear" w:color="auto" w:fill="E4E9F0"/>
            <w:vAlign w:val="center"/>
          </w:tcPr>
          <w:p w14:paraId="10379D41" w14:textId="77777777" w:rsidR="00FF3B0F" w:rsidRDefault="005306D5">
            <w:pPr>
              <w:spacing w:before="60" w:after="40" w:line="240" w:lineRule="auto"/>
            </w:pPr>
            <w:r>
              <w:rPr>
                <w:b/>
                <w:color w:val="1F3B63"/>
              </w:rPr>
              <w:t>4.6 Interfaces e integraciones</w:t>
            </w:r>
          </w:p>
        </w:tc>
      </w:tr>
      <w:tr w:rsidR="00FF3B0F" w14:paraId="0BC1950D" w14:textId="77777777">
        <w:trPr>
          <w:cantSplit/>
          <w:trHeight w:hRule="exact" w:val="652"/>
          <w:jc w:val="center"/>
        </w:trPr>
        <w:tc>
          <w:tcPr>
            <w:tcW w:w="6123" w:type="dxa"/>
            <w:vAlign w:val="center"/>
          </w:tcPr>
          <w:p w14:paraId="337122F6" w14:textId="77777777" w:rsidR="00FF3B0F" w:rsidRDefault="005306D5">
            <w:pPr>
              <w:spacing w:before="16" w:after="16" w:line="240" w:lineRule="auto"/>
              <w:ind w:left="142"/>
            </w:pPr>
            <w:r>
              <w:rPr>
                <w:b/>
                <w:color w:val="1F3B63"/>
              </w:rPr>
              <w:t xml:space="preserve">4.6.1  </w:t>
            </w:r>
            <w:r>
              <w:t>Interoperabilidad con el ecosistema que ya existe</w:t>
            </w:r>
          </w:p>
        </w:tc>
        <w:tc>
          <w:tcPr>
            <w:tcW w:w="737" w:type="dxa"/>
            <w:vAlign w:val="center"/>
          </w:tcPr>
          <w:p w14:paraId="165706DE" w14:textId="77777777" w:rsidR="00FF3B0F" w:rsidRDefault="005306D5">
            <w:pPr>
              <w:spacing w:before="16" w:after="16" w:line="240" w:lineRule="auto"/>
              <w:jc w:val="center"/>
            </w:pPr>
            <w:r>
              <w:rPr>
                <w:b/>
              </w:rPr>
              <w:t>●</w:t>
            </w:r>
          </w:p>
        </w:tc>
        <w:tc>
          <w:tcPr>
            <w:tcW w:w="737" w:type="dxa"/>
            <w:vAlign w:val="center"/>
          </w:tcPr>
          <w:p w14:paraId="23AF41C6" w14:textId="77777777" w:rsidR="00FF3B0F" w:rsidRDefault="005306D5">
            <w:pPr>
              <w:spacing w:before="16" w:after="16" w:line="240" w:lineRule="auto"/>
              <w:jc w:val="center"/>
            </w:pPr>
            <w:r>
              <w:rPr>
                <w:b/>
              </w:rPr>
              <w:t>●</w:t>
            </w:r>
          </w:p>
        </w:tc>
        <w:tc>
          <w:tcPr>
            <w:tcW w:w="737" w:type="dxa"/>
            <w:vAlign w:val="center"/>
          </w:tcPr>
          <w:p w14:paraId="157B1B94" w14:textId="77777777" w:rsidR="00FF3B0F" w:rsidRDefault="005306D5">
            <w:pPr>
              <w:spacing w:before="16" w:after="16" w:line="240" w:lineRule="auto"/>
              <w:jc w:val="center"/>
            </w:pPr>
            <w:r>
              <w:rPr>
                <w:b/>
              </w:rPr>
              <w:t>○</w:t>
            </w:r>
          </w:p>
        </w:tc>
        <w:tc>
          <w:tcPr>
            <w:tcW w:w="737" w:type="dxa"/>
            <w:vAlign w:val="center"/>
          </w:tcPr>
          <w:p w14:paraId="2EDDBDA8" w14:textId="77777777" w:rsidR="00FF3B0F" w:rsidRDefault="005306D5">
            <w:pPr>
              <w:spacing w:before="16" w:after="16" w:line="240" w:lineRule="auto"/>
              <w:jc w:val="center"/>
            </w:pPr>
            <w:r>
              <w:rPr>
                <w:b/>
              </w:rPr>
              <w:t>○</w:t>
            </w:r>
          </w:p>
        </w:tc>
      </w:tr>
      <w:tr w:rsidR="00FF3B0F" w14:paraId="6BA8311B" w14:textId="77777777">
        <w:trPr>
          <w:cantSplit/>
          <w:jc w:val="center"/>
        </w:trPr>
        <w:tc>
          <w:tcPr>
            <w:tcW w:w="737" w:type="dxa"/>
            <w:gridSpan w:val="5"/>
            <w:shd w:val="clear" w:color="auto" w:fill="E4E9F0"/>
            <w:vAlign w:val="center"/>
          </w:tcPr>
          <w:p w14:paraId="1C7FBDFC" w14:textId="77777777" w:rsidR="00FF3B0F" w:rsidRDefault="005306D5">
            <w:pPr>
              <w:spacing w:before="60" w:after="40" w:line="240" w:lineRule="auto"/>
            </w:pPr>
            <w:r>
              <w:rPr>
                <w:b/>
                <w:color w:val="1F3B63"/>
              </w:rPr>
              <w:t>4.7 Seguridad y cumplimiento</w:t>
            </w:r>
          </w:p>
        </w:tc>
      </w:tr>
      <w:tr w:rsidR="00FF3B0F" w14:paraId="601DDAC9" w14:textId="77777777">
        <w:trPr>
          <w:cantSplit/>
          <w:trHeight w:hRule="exact" w:val="652"/>
          <w:jc w:val="center"/>
        </w:trPr>
        <w:tc>
          <w:tcPr>
            <w:tcW w:w="6123" w:type="dxa"/>
            <w:vAlign w:val="center"/>
          </w:tcPr>
          <w:p w14:paraId="2E70BA5E" w14:textId="77777777" w:rsidR="00FF3B0F" w:rsidRDefault="005306D5">
            <w:pPr>
              <w:spacing w:before="16" w:after="16" w:line="240" w:lineRule="auto"/>
              <w:ind w:left="142"/>
            </w:pPr>
            <w:r>
              <w:rPr>
                <w:b/>
                <w:color w:val="1F3B63"/>
              </w:rPr>
              <w:t xml:space="preserve">4.7.1  </w:t>
            </w:r>
            <w:r>
              <w:t>Adecuación del sistema a lo que la ley obliga</w:t>
            </w:r>
          </w:p>
        </w:tc>
        <w:tc>
          <w:tcPr>
            <w:tcW w:w="737" w:type="dxa"/>
            <w:vAlign w:val="center"/>
          </w:tcPr>
          <w:p w14:paraId="35AA6ECF" w14:textId="77777777" w:rsidR="00FF3B0F" w:rsidRDefault="005306D5">
            <w:pPr>
              <w:spacing w:before="16" w:after="16" w:line="240" w:lineRule="auto"/>
              <w:jc w:val="center"/>
            </w:pPr>
            <w:r>
              <w:rPr>
                <w:b/>
              </w:rPr>
              <w:t>●</w:t>
            </w:r>
          </w:p>
        </w:tc>
        <w:tc>
          <w:tcPr>
            <w:tcW w:w="737" w:type="dxa"/>
            <w:vAlign w:val="center"/>
          </w:tcPr>
          <w:p w14:paraId="6669B9B0" w14:textId="77777777" w:rsidR="00FF3B0F" w:rsidRDefault="005306D5">
            <w:pPr>
              <w:spacing w:before="16" w:after="16" w:line="240" w:lineRule="auto"/>
              <w:jc w:val="center"/>
            </w:pPr>
            <w:r>
              <w:rPr>
                <w:b/>
              </w:rPr>
              <w:t>●</w:t>
            </w:r>
          </w:p>
        </w:tc>
        <w:tc>
          <w:tcPr>
            <w:tcW w:w="737" w:type="dxa"/>
            <w:vAlign w:val="center"/>
          </w:tcPr>
          <w:p w14:paraId="01058183" w14:textId="77777777" w:rsidR="00FF3B0F" w:rsidRDefault="005306D5">
            <w:pPr>
              <w:spacing w:before="16" w:after="16" w:line="240" w:lineRule="auto"/>
              <w:jc w:val="center"/>
            </w:pPr>
            <w:r>
              <w:rPr>
                <w:b/>
              </w:rPr>
              <w:t>○</w:t>
            </w:r>
          </w:p>
        </w:tc>
        <w:tc>
          <w:tcPr>
            <w:tcW w:w="737" w:type="dxa"/>
            <w:vAlign w:val="center"/>
          </w:tcPr>
          <w:p w14:paraId="4B4639A2" w14:textId="77777777" w:rsidR="00FF3B0F" w:rsidRDefault="005306D5">
            <w:pPr>
              <w:spacing w:before="16" w:after="16" w:line="240" w:lineRule="auto"/>
              <w:jc w:val="center"/>
            </w:pPr>
            <w:r>
              <w:rPr>
                <w:b/>
              </w:rPr>
              <w:t>○</w:t>
            </w:r>
          </w:p>
        </w:tc>
      </w:tr>
      <w:tr w:rsidR="00FF3B0F" w14:paraId="5A8B5E33" w14:textId="77777777">
        <w:trPr>
          <w:cantSplit/>
          <w:trHeight w:hRule="exact" w:val="652"/>
          <w:jc w:val="center"/>
        </w:trPr>
        <w:tc>
          <w:tcPr>
            <w:tcW w:w="6123" w:type="dxa"/>
            <w:shd w:val="clear" w:color="auto" w:fill="F7F7F7"/>
            <w:vAlign w:val="center"/>
          </w:tcPr>
          <w:p w14:paraId="745F3BA4" w14:textId="77777777" w:rsidR="00FF3B0F" w:rsidRDefault="005306D5">
            <w:pPr>
              <w:spacing w:before="16" w:after="16" w:line="240" w:lineRule="auto"/>
              <w:ind w:left="142"/>
            </w:pPr>
            <w:r>
              <w:rPr>
                <w:b/>
                <w:color w:val="1F3B63"/>
              </w:rPr>
              <w:t xml:space="preserve">4.7.2  </w:t>
            </w:r>
            <w:r>
              <w:t>Conformidad ya demostrada ante normas externas</w:t>
            </w:r>
          </w:p>
        </w:tc>
        <w:tc>
          <w:tcPr>
            <w:tcW w:w="737" w:type="dxa"/>
            <w:shd w:val="clear" w:color="auto" w:fill="F7F7F7"/>
            <w:vAlign w:val="center"/>
          </w:tcPr>
          <w:p w14:paraId="047FEEA1" w14:textId="77777777" w:rsidR="00FF3B0F" w:rsidRDefault="005306D5">
            <w:pPr>
              <w:spacing w:before="16" w:after="16" w:line="240" w:lineRule="auto"/>
              <w:jc w:val="center"/>
            </w:pPr>
            <w:r>
              <w:rPr>
                <w:b/>
              </w:rPr>
              <w:t>○</w:t>
            </w:r>
          </w:p>
        </w:tc>
        <w:tc>
          <w:tcPr>
            <w:tcW w:w="737" w:type="dxa"/>
            <w:shd w:val="clear" w:color="auto" w:fill="F7F7F7"/>
            <w:vAlign w:val="center"/>
          </w:tcPr>
          <w:p w14:paraId="3AF24744" w14:textId="77777777" w:rsidR="00FF3B0F" w:rsidRDefault="005306D5">
            <w:pPr>
              <w:spacing w:before="16" w:after="16" w:line="240" w:lineRule="auto"/>
              <w:jc w:val="center"/>
            </w:pPr>
            <w:r>
              <w:rPr>
                <w:b/>
              </w:rPr>
              <w:t>○</w:t>
            </w:r>
          </w:p>
        </w:tc>
        <w:tc>
          <w:tcPr>
            <w:tcW w:w="737" w:type="dxa"/>
            <w:shd w:val="clear" w:color="auto" w:fill="F7F7F7"/>
            <w:vAlign w:val="center"/>
          </w:tcPr>
          <w:p w14:paraId="7BA4DF0E" w14:textId="77777777" w:rsidR="00FF3B0F" w:rsidRDefault="005306D5">
            <w:pPr>
              <w:spacing w:before="16" w:after="16" w:line="240" w:lineRule="auto"/>
              <w:jc w:val="center"/>
            </w:pPr>
            <w:r>
              <w:rPr>
                <w:b/>
              </w:rPr>
              <w:t>●</w:t>
            </w:r>
          </w:p>
        </w:tc>
        <w:tc>
          <w:tcPr>
            <w:tcW w:w="737" w:type="dxa"/>
            <w:shd w:val="clear" w:color="auto" w:fill="F7F7F7"/>
            <w:vAlign w:val="center"/>
          </w:tcPr>
          <w:p w14:paraId="7F0E16BD" w14:textId="77777777" w:rsidR="00FF3B0F" w:rsidRDefault="005306D5">
            <w:pPr>
              <w:spacing w:before="16" w:after="16" w:line="240" w:lineRule="auto"/>
              <w:jc w:val="center"/>
            </w:pPr>
            <w:r>
              <w:rPr>
                <w:b/>
              </w:rPr>
              <w:t>●</w:t>
            </w:r>
          </w:p>
        </w:tc>
      </w:tr>
      <w:tr w:rsidR="00FF3B0F" w14:paraId="30C65C4E" w14:textId="77777777">
        <w:trPr>
          <w:cantSplit/>
          <w:trHeight w:hRule="exact" w:val="652"/>
          <w:jc w:val="center"/>
        </w:trPr>
        <w:tc>
          <w:tcPr>
            <w:tcW w:w="6123" w:type="dxa"/>
            <w:vAlign w:val="center"/>
          </w:tcPr>
          <w:p w14:paraId="2FA9A903" w14:textId="77777777" w:rsidR="00FF3B0F" w:rsidRDefault="005306D5">
            <w:pPr>
              <w:spacing w:before="16" w:after="16" w:line="240" w:lineRule="auto"/>
              <w:ind w:left="142"/>
            </w:pPr>
            <w:r>
              <w:rPr>
                <w:b/>
                <w:color w:val="1F3B63"/>
              </w:rPr>
              <w:t xml:space="preserve">4.7.3  </w:t>
            </w:r>
            <w:r>
              <w:t>Prácticas de desarrollo seguro e inventario de componentes</w:t>
            </w:r>
          </w:p>
        </w:tc>
        <w:tc>
          <w:tcPr>
            <w:tcW w:w="737" w:type="dxa"/>
            <w:vAlign w:val="center"/>
          </w:tcPr>
          <w:p w14:paraId="1AC5B3CE" w14:textId="77777777" w:rsidR="00FF3B0F" w:rsidRDefault="005306D5">
            <w:pPr>
              <w:spacing w:before="16" w:after="16" w:line="240" w:lineRule="auto"/>
              <w:jc w:val="center"/>
            </w:pPr>
            <w:r>
              <w:rPr>
                <w:b/>
              </w:rPr>
              <w:t>●</w:t>
            </w:r>
          </w:p>
        </w:tc>
        <w:tc>
          <w:tcPr>
            <w:tcW w:w="737" w:type="dxa"/>
            <w:vAlign w:val="center"/>
          </w:tcPr>
          <w:p w14:paraId="2D8FA5E7" w14:textId="77777777" w:rsidR="00FF3B0F" w:rsidRDefault="005306D5">
            <w:pPr>
              <w:spacing w:before="16" w:after="16" w:line="240" w:lineRule="auto"/>
              <w:jc w:val="center"/>
            </w:pPr>
            <w:r>
              <w:rPr>
                <w:b/>
              </w:rPr>
              <w:t>●</w:t>
            </w:r>
          </w:p>
        </w:tc>
        <w:tc>
          <w:tcPr>
            <w:tcW w:w="737" w:type="dxa"/>
            <w:vAlign w:val="center"/>
          </w:tcPr>
          <w:p w14:paraId="7ADC4E01" w14:textId="77777777" w:rsidR="00FF3B0F" w:rsidRDefault="005306D5">
            <w:pPr>
              <w:spacing w:before="16" w:after="16" w:line="240" w:lineRule="auto"/>
              <w:jc w:val="center"/>
            </w:pPr>
            <w:r>
              <w:rPr>
                <w:b/>
              </w:rPr>
              <w:t>○</w:t>
            </w:r>
          </w:p>
        </w:tc>
        <w:tc>
          <w:tcPr>
            <w:tcW w:w="737" w:type="dxa"/>
            <w:vAlign w:val="center"/>
          </w:tcPr>
          <w:p w14:paraId="70A97A51" w14:textId="77777777" w:rsidR="00FF3B0F" w:rsidRDefault="005306D5">
            <w:pPr>
              <w:spacing w:before="16" w:after="16" w:line="240" w:lineRule="auto"/>
              <w:jc w:val="center"/>
            </w:pPr>
            <w:r>
              <w:rPr>
                <w:b/>
              </w:rPr>
              <w:t>○</w:t>
            </w:r>
          </w:p>
        </w:tc>
      </w:tr>
      <w:tr w:rsidR="00FF3B0F" w14:paraId="75A8D61C" w14:textId="77777777">
        <w:trPr>
          <w:cantSplit/>
          <w:jc w:val="center"/>
        </w:trPr>
        <w:tc>
          <w:tcPr>
            <w:tcW w:w="737" w:type="dxa"/>
            <w:gridSpan w:val="5"/>
            <w:shd w:val="clear" w:color="auto" w:fill="E4E9F0"/>
            <w:vAlign w:val="center"/>
          </w:tcPr>
          <w:p w14:paraId="44CFDEF2" w14:textId="77777777" w:rsidR="00FF3B0F" w:rsidRDefault="005306D5">
            <w:pPr>
              <w:spacing w:before="60" w:after="40" w:line="240" w:lineRule="auto"/>
            </w:pPr>
            <w:r>
              <w:rPr>
                <w:b/>
                <w:color w:val="1F3B63"/>
              </w:rPr>
              <w:t>4.8 Modelo de contratos y licenciamiento</w:t>
            </w:r>
          </w:p>
        </w:tc>
      </w:tr>
      <w:tr w:rsidR="00FF3B0F" w14:paraId="191CB34F" w14:textId="77777777">
        <w:trPr>
          <w:cantSplit/>
          <w:trHeight w:hRule="exact" w:val="652"/>
          <w:jc w:val="center"/>
        </w:trPr>
        <w:tc>
          <w:tcPr>
            <w:tcW w:w="6123" w:type="dxa"/>
            <w:vAlign w:val="center"/>
          </w:tcPr>
          <w:p w14:paraId="692AD519" w14:textId="77777777" w:rsidR="00FF3B0F" w:rsidRDefault="005306D5">
            <w:pPr>
              <w:spacing w:before="16" w:after="16" w:line="240" w:lineRule="auto"/>
              <w:ind w:left="142"/>
            </w:pPr>
            <w:r>
              <w:rPr>
                <w:b/>
                <w:color w:val="1F3B63"/>
              </w:rPr>
              <w:t xml:space="preserve">4.8.1  </w:t>
            </w:r>
            <w:r>
              <w:t>Control sobre qué cambia en el sistema y cuándo</w:t>
            </w:r>
          </w:p>
        </w:tc>
        <w:tc>
          <w:tcPr>
            <w:tcW w:w="737" w:type="dxa"/>
            <w:vAlign w:val="center"/>
          </w:tcPr>
          <w:p w14:paraId="2B3E13B3" w14:textId="77777777" w:rsidR="00FF3B0F" w:rsidRDefault="005306D5">
            <w:pPr>
              <w:spacing w:before="16" w:after="16" w:line="240" w:lineRule="auto"/>
              <w:jc w:val="center"/>
            </w:pPr>
            <w:r>
              <w:rPr>
                <w:b/>
              </w:rPr>
              <w:t>●</w:t>
            </w:r>
          </w:p>
        </w:tc>
        <w:tc>
          <w:tcPr>
            <w:tcW w:w="737" w:type="dxa"/>
            <w:vAlign w:val="center"/>
          </w:tcPr>
          <w:p w14:paraId="078677EC" w14:textId="77777777" w:rsidR="00FF3B0F" w:rsidRDefault="005306D5">
            <w:pPr>
              <w:spacing w:before="16" w:after="16" w:line="240" w:lineRule="auto"/>
              <w:jc w:val="center"/>
            </w:pPr>
            <w:r>
              <w:rPr>
                <w:b/>
              </w:rPr>
              <w:t>●</w:t>
            </w:r>
          </w:p>
        </w:tc>
        <w:tc>
          <w:tcPr>
            <w:tcW w:w="737" w:type="dxa"/>
            <w:vAlign w:val="center"/>
          </w:tcPr>
          <w:p w14:paraId="4CB34D8F" w14:textId="77777777" w:rsidR="00FF3B0F" w:rsidRDefault="005306D5">
            <w:pPr>
              <w:spacing w:before="16" w:after="16" w:line="240" w:lineRule="auto"/>
              <w:jc w:val="center"/>
            </w:pPr>
            <w:r>
              <w:rPr>
                <w:b/>
              </w:rPr>
              <w:t>○</w:t>
            </w:r>
          </w:p>
        </w:tc>
        <w:tc>
          <w:tcPr>
            <w:tcW w:w="737" w:type="dxa"/>
            <w:vAlign w:val="center"/>
          </w:tcPr>
          <w:p w14:paraId="15B342F7" w14:textId="77777777" w:rsidR="00FF3B0F" w:rsidRDefault="005306D5">
            <w:pPr>
              <w:spacing w:before="16" w:after="16" w:line="240" w:lineRule="auto"/>
              <w:jc w:val="center"/>
            </w:pPr>
            <w:r>
              <w:rPr>
                <w:b/>
              </w:rPr>
              <w:t>○</w:t>
            </w:r>
          </w:p>
        </w:tc>
      </w:tr>
      <w:tr w:rsidR="00FF3B0F" w14:paraId="35B5BAF3" w14:textId="77777777">
        <w:trPr>
          <w:cantSplit/>
          <w:trHeight w:hRule="exact" w:val="652"/>
          <w:jc w:val="center"/>
        </w:trPr>
        <w:tc>
          <w:tcPr>
            <w:tcW w:w="6123" w:type="dxa"/>
            <w:shd w:val="clear" w:color="auto" w:fill="F7F7F7"/>
            <w:vAlign w:val="center"/>
          </w:tcPr>
          <w:p w14:paraId="7D178C4D" w14:textId="77777777" w:rsidR="00FF3B0F" w:rsidRDefault="005306D5">
            <w:pPr>
              <w:spacing w:before="16" w:after="16" w:line="240" w:lineRule="auto"/>
              <w:ind w:left="142"/>
            </w:pPr>
            <w:r>
              <w:rPr>
                <w:b/>
                <w:color w:val="1F3B63"/>
              </w:rPr>
              <w:t xml:space="preserve">4.8.2  </w:t>
            </w:r>
            <w:r>
              <w:t>Independencia de quien provee el software</w:t>
            </w:r>
          </w:p>
        </w:tc>
        <w:tc>
          <w:tcPr>
            <w:tcW w:w="737" w:type="dxa"/>
            <w:shd w:val="clear" w:color="auto" w:fill="F7F7F7"/>
            <w:vAlign w:val="center"/>
          </w:tcPr>
          <w:p w14:paraId="0B6E656E" w14:textId="77777777" w:rsidR="00FF3B0F" w:rsidRDefault="005306D5">
            <w:pPr>
              <w:spacing w:before="16" w:after="16" w:line="240" w:lineRule="auto"/>
              <w:jc w:val="center"/>
            </w:pPr>
            <w:r>
              <w:rPr>
                <w:b/>
              </w:rPr>
              <w:t>●</w:t>
            </w:r>
          </w:p>
        </w:tc>
        <w:tc>
          <w:tcPr>
            <w:tcW w:w="737" w:type="dxa"/>
            <w:shd w:val="clear" w:color="auto" w:fill="F7F7F7"/>
            <w:vAlign w:val="center"/>
          </w:tcPr>
          <w:p w14:paraId="2535DF64" w14:textId="77777777" w:rsidR="00FF3B0F" w:rsidRDefault="005306D5">
            <w:pPr>
              <w:spacing w:before="16" w:after="16" w:line="240" w:lineRule="auto"/>
              <w:jc w:val="center"/>
            </w:pPr>
            <w:r>
              <w:rPr>
                <w:b/>
              </w:rPr>
              <w:t>○</w:t>
            </w:r>
          </w:p>
        </w:tc>
        <w:tc>
          <w:tcPr>
            <w:tcW w:w="737" w:type="dxa"/>
            <w:shd w:val="clear" w:color="auto" w:fill="F7F7F7"/>
            <w:vAlign w:val="center"/>
          </w:tcPr>
          <w:p w14:paraId="1EC7BC2C" w14:textId="77777777" w:rsidR="00FF3B0F" w:rsidRDefault="005306D5">
            <w:pPr>
              <w:spacing w:before="16" w:after="16" w:line="240" w:lineRule="auto"/>
              <w:jc w:val="center"/>
            </w:pPr>
            <w:r>
              <w:rPr>
                <w:b/>
              </w:rPr>
              <w:t>○</w:t>
            </w:r>
          </w:p>
        </w:tc>
        <w:tc>
          <w:tcPr>
            <w:tcW w:w="737" w:type="dxa"/>
            <w:shd w:val="clear" w:color="auto" w:fill="F7F7F7"/>
            <w:vAlign w:val="center"/>
          </w:tcPr>
          <w:p w14:paraId="6F8AAA57" w14:textId="77777777" w:rsidR="00FF3B0F" w:rsidRDefault="005306D5">
            <w:pPr>
              <w:spacing w:before="16" w:after="16" w:line="240" w:lineRule="auto"/>
              <w:jc w:val="center"/>
            </w:pPr>
            <w:r>
              <w:rPr>
                <w:b/>
              </w:rPr>
              <w:t>○</w:t>
            </w:r>
          </w:p>
        </w:tc>
      </w:tr>
      <w:tr w:rsidR="00FF3B0F" w14:paraId="679D13BE" w14:textId="77777777">
        <w:trPr>
          <w:cantSplit/>
          <w:jc w:val="center"/>
        </w:trPr>
        <w:tc>
          <w:tcPr>
            <w:tcW w:w="737" w:type="dxa"/>
            <w:gridSpan w:val="5"/>
            <w:shd w:val="clear" w:color="auto" w:fill="E4E9F0"/>
            <w:vAlign w:val="center"/>
          </w:tcPr>
          <w:p w14:paraId="17D1D31F" w14:textId="77777777" w:rsidR="00FF3B0F" w:rsidRDefault="005306D5">
            <w:pPr>
              <w:spacing w:before="60" w:after="40" w:line="240" w:lineRule="auto"/>
            </w:pPr>
            <w:r>
              <w:rPr>
                <w:b/>
                <w:color w:val="1F3B63"/>
              </w:rPr>
              <w:t>4.9 Capacidad de la organización y costo de oportunidad</w:t>
            </w:r>
          </w:p>
        </w:tc>
      </w:tr>
      <w:tr w:rsidR="00FF3B0F" w14:paraId="31C6FAF2" w14:textId="77777777">
        <w:trPr>
          <w:cantSplit/>
          <w:trHeight w:hRule="exact" w:val="652"/>
          <w:jc w:val="center"/>
        </w:trPr>
        <w:tc>
          <w:tcPr>
            <w:tcW w:w="6123" w:type="dxa"/>
            <w:vAlign w:val="center"/>
          </w:tcPr>
          <w:p w14:paraId="100B44CE" w14:textId="77777777" w:rsidR="00FF3B0F" w:rsidRDefault="005306D5">
            <w:pPr>
              <w:spacing w:before="16" w:after="16" w:line="240" w:lineRule="auto"/>
              <w:ind w:left="142"/>
            </w:pPr>
            <w:r>
              <w:rPr>
                <w:b/>
                <w:color w:val="1F3B63"/>
              </w:rPr>
              <w:t xml:space="preserve">4.9.1  </w:t>
            </w:r>
            <w:r>
              <w:t>Conocimiento del negocio de quien define los requerimientos</w:t>
            </w:r>
          </w:p>
        </w:tc>
        <w:tc>
          <w:tcPr>
            <w:tcW w:w="737" w:type="dxa"/>
            <w:vAlign w:val="center"/>
          </w:tcPr>
          <w:p w14:paraId="1B5B5214" w14:textId="77777777" w:rsidR="00FF3B0F" w:rsidRDefault="005306D5">
            <w:pPr>
              <w:spacing w:before="16" w:after="16" w:line="240" w:lineRule="auto"/>
              <w:jc w:val="center"/>
            </w:pPr>
            <w:r>
              <w:rPr>
                <w:b/>
              </w:rPr>
              <w:t>●</w:t>
            </w:r>
          </w:p>
        </w:tc>
        <w:tc>
          <w:tcPr>
            <w:tcW w:w="737" w:type="dxa"/>
            <w:vAlign w:val="center"/>
          </w:tcPr>
          <w:p w14:paraId="1968886F" w14:textId="77777777" w:rsidR="00FF3B0F" w:rsidRDefault="005306D5">
            <w:pPr>
              <w:spacing w:before="16" w:after="16" w:line="240" w:lineRule="auto"/>
              <w:jc w:val="center"/>
            </w:pPr>
            <w:r>
              <w:rPr>
                <w:b/>
              </w:rPr>
              <w:t>○</w:t>
            </w:r>
          </w:p>
        </w:tc>
        <w:tc>
          <w:tcPr>
            <w:tcW w:w="737" w:type="dxa"/>
            <w:vAlign w:val="center"/>
          </w:tcPr>
          <w:p w14:paraId="5A46C285" w14:textId="77777777" w:rsidR="00FF3B0F" w:rsidRDefault="005306D5">
            <w:pPr>
              <w:spacing w:before="16" w:after="16" w:line="240" w:lineRule="auto"/>
              <w:jc w:val="center"/>
            </w:pPr>
            <w:r>
              <w:rPr>
                <w:b/>
              </w:rPr>
              <w:t>○</w:t>
            </w:r>
          </w:p>
        </w:tc>
        <w:tc>
          <w:tcPr>
            <w:tcW w:w="737" w:type="dxa"/>
            <w:vAlign w:val="center"/>
          </w:tcPr>
          <w:p w14:paraId="67A14AFF" w14:textId="77777777" w:rsidR="00FF3B0F" w:rsidRDefault="005306D5">
            <w:pPr>
              <w:spacing w:before="16" w:after="16" w:line="240" w:lineRule="auto"/>
              <w:jc w:val="center"/>
            </w:pPr>
            <w:r>
              <w:rPr>
                <w:b/>
              </w:rPr>
              <w:t>○</w:t>
            </w:r>
          </w:p>
        </w:tc>
      </w:tr>
      <w:tr w:rsidR="00FF3B0F" w14:paraId="32CEA79D" w14:textId="77777777">
        <w:trPr>
          <w:cantSplit/>
          <w:trHeight w:hRule="exact" w:val="652"/>
          <w:jc w:val="center"/>
        </w:trPr>
        <w:tc>
          <w:tcPr>
            <w:tcW w:w="6123" w:type="dxa"/>
            <w:shd w:val="clear" w:color="auto" w:fill="F7F7F7"/>
            <w:vAlign w:val="center"/>
          </w:tcPr>
          <w:p w14:paraId="3995D561" w14:textId="77777777" w:rsidR="00FF3B0F" w:rsidRDefault="005306D5">
            <w:pPr>
              <w:spacing w:before="16" w:after="16" w:line="240" w:lineRule="auto"/>
              <w:ind w:left="142"/>
            </w:pPr>
            <w:r>
              <w:rPr>
                <w:b/>
                <w:color w:val="1F3B63"/>
              </w:rPr>
              <w:t xml:space="preserve">4.9.2  </w:t>
            </w:r>
            <w:r>
              <w:t>Intervención de los usuarios en cómo se opera el sistema</w:t>
            </w:r>
          </w:p>
        </w:tc>
        <w:tc>
          <w:tcPr>
            <w:tcW w:w="737" w:type="dxa"/>
            <w:shd w:val="clear" w:color="auto" w:fill="F7F7F7"/>
            <w:vAlign w:val="center"/>
          </w:tcPr>
          <w:p w14:paraId="4427BE4F" w14:textId="77777777" w:rsidR="00FF3B0F" w:rsidRDefault="005306D5">
            <w:pPr>
              <w:spacing w:before="16" w:after="16" w:line="240" w:lineRule="auto"/>
              <w:jc w:val="center"/>
            </w:pPr>
            <w:r>
              <w:rPr>
                <w:b/>
              </w:rPr>
              <w:t>●</w:t>
            </w:r>
          </w:p>
        </w:tc>
        <w:tc>
          <w:tcPr>
            <w:tcW w:w="737" w:type="dxa"/>
            <w:shd w:val="clear" w:color="auto" w:fill="F7F7F7"/>
            <w:vAlign w:val="center"/>
          </w:tcPr>
          <w:p w14:paraId="43BCAEE5" w14:textId="77777777" w:rsidR="00FF3B0F" w:rsidRDefault="005306D5">
            <w:pPr>
              <w:spacing w:before="16" w:after="16" w:line="240" w:lineRule="auto"/>
              <w:jc w:val="center"/>
            </w:pPr>
            <w:r>
              <w:rPr>
                <w:b/>
              </w:rPr>
              <w:t>●</w:t>
            </w:r>
          </w:p>
        </w:tc>
        <w:tc>
          <w:tcPr>
            <w:tcW w:w="737" w:type="dxa"/>
            <w:shd w:val="clear" w:color="auto" w:fill="F7F7F7"/>
            <w:vAlign w:val="center"/>
          </w:tcPr>
          <w:p w14:paraId="388E6AFF" w14:textId="77777777" w:rsidR="00FF3B0F" w:rsidRDefault="005306D5">
            <w:pPr>
              <w:spacing w:before="16" w:after="16" w:line="240" w:lineRule="auto"/>
              <w:jc w:val="center"/>
            </w:pPr>
            <w:r>
              <w:rPr>
                <w:b/>
              </w:rPr>
              <w:t>○</w:t>
            </w:r>
          </w:p>
        </w:tc>
        <w:tc>
          <w:tcPr>
            <w:tcW w:w="737" w:type="dxa"/>
            <w:shd w:val="clear" w:color="auto" w:fill="F7F7F7"/>
            <w:vAlign w:val="center"/>
          </w:tcPr>
          <w:p w14:paraId="4AAB9061" w14:textId="77777777" w:rsidR="00FF3B0F" w:rsidRDefault="005306D5">
            <w:pPr>
              <w:spacing w:before="16" w:after="16" w:line="240" w:lineRule="auto"/>
              <w:jc w:val="center"/>
            </w:pPr>
            <w:r>
              <w:rPr>
                <w:b/>
              </w:rPr>
              <w:t>○</w:t>
            </w:r>
          </w:p>
        </w:tc>
      </w:tr>
      <w:tr w:rsidR="00FF3B0F" w14:paraId="6BC65774" w14:textId="77777777">
        <w:trPr>
          <w:cantSplit/>
          <w:trHeight w:hRule="exact" w:val="652"/>
          <w:jc w:val="center"/>
        </w:trPr>
        <w:tc>
          <w:tcPr>
            <w:tcW w:w="6123" w:type="dxa"/>
            <w:vAlign w:val="center"/>
          </w:tcPr>
          <w:p w14:paraId="3D010BBA" w14:textId="77777777" w:rsidR="00FF3B0F" w:rsidRDefault="005306D5">
            <w:pPr>
              <w:spacing w:before="16" w:after="16" w:line="240" w:lineRule="auto"/>
              <w:ind w:left="142"/>
            </w:pPr>
            <w:r>
              <w:rPr>
                <w:b/>
                <w:color w:val="1F3B63"/>
              </w:rPr>
              <w:t xml:space="preserve">4.9.3  </w:t>
            </w:r>
            <w:r>
              <w:t>Permanencia del conocimiento dentro de la organización</w:t>
            </w:r>
          </w:p>
        </w:tc>
        <w:tc>
          <w:tcPr>
            <w:tcW w:w="737" w:type="dxa"/>
            <w:vAlign w:val="center"/>
          </w:tcPr>
          <w:p w14:paraId="6C2BA24E" w14:textId="77777777" w:rsidR="00FF3B0F" w:rsidRDefault="005306D5">
            <w:pPr>
              <w:spacing w:before="16" w:after="16" w:line="240" w:lineRule="auto"/>
              <w:jc w:val="center"/>
            </w:pPr>
            <w:r>
              <w:rPr>
                <w:b/>
              </w:rPr>
              <w:t>●</w:t>
            </w:r>
          </w:p>
        </w:tc>
        <w:tc>
          <w:tcPr>
            <w:tcW w:w="737" w:type="dxa"/>
            <w:vAlign w:val="center"/>
          </w:tcPr>
          <w:p w14:paraId="60FE6BF7" w14:textId="77777777" w:rsidR="00FF3B0F" w:rsidRDefault="005306D5">
            <w:pPr>
              <w:spacing w:before="16" w:after="16" w:line="240" w:lineRule="auto"/>
              <w:jc w:val="center"/>
            </w:pPr>
            <w:r>
              <w:rPr>
                <w:b/>
              </w:rPr>
              <w:t>○</w:t>
            </w:r>
          </w:p>
        </w:tc>
        <w:tc>
          <w:tcPr>
            <w:tcW w:w="737" w:type="dxa"/>
            <w:vAlign w:val="center"/>
          </w:tcPr>
          <w:p w14:paraId="1B80D6A6" w14:textId="77777777" w:rsidR="00FF3B0F" w:rsidRDefault="005306D5">
            <w:pPr>
              <w:spacing w:before="16" w:after="16" w:line="240" w:lineRule="auto"/>
              <w:jc w:val="center"/>
            </w:pPr>
            <w:r>
              <w:rPr>
                <w:b/>
              </w:rPr>
              <w:t>○</w:t>
            </w:r>
          </w:p>
        </w:tc>
        <w:tc>
          <w:tcPr>
            <w:tcW w:w="737" w:type="dxa"/>
            <w:vAlign w:val="center"/>
          </w:tcPr>
          <w:p w14:paraId="38B751B5" w14:textId="77777777" w:rsidR="00FF3B0F" w:rsidRDefault="005306D5">
            <w:pPr>
              <w:spacing w:before="16" w:after="16" w:line="240" w:lineRule="auto"/>
              <w:jc w:val="center"/>
            </w:pPr>
            <w:r>
              <w:rPr>
                <w:b/>
              </w:rPr>
              <w:t>○</w:t>
            </w:r>
          </w:p>
        </w:tc>
      </w:tr>
      <w:tr w:rsidR="00FF3B0F" w14:paraId="10B3C1AC" w14:textId="77777777">
        <w:trPr>
          <w:cantSplit/>
          <w:trHeight w:hRule="exact" w:val="652"/>
          <w:jc w:val="center"/>
        </w:trPr>
        <w:tc>
          <w:tcPr>
            <w:tcW w:w="6123" w:type="dxa"/>
            <w:shd w:val="clear" w:color="auto" w:fill="F7F7F7"/>
            <w:vAlign w:val="center"/>
          </w:tcPr>
          <w:p w14:paraId="33160104" w14:textId="77777777" w:rsidR="00FF3B0F" w:rsidRDefault="005306D5">
            <w:pPr>
              <w:spacing w:before="16" w:after="16" w:line="240" w:lineRule="auto"/>
              <w:ind w:left="142"/>
            </w:pPr>
            <w:r>
              <w:rPr>
                <w:b/>
                <w:color w:val="1F3B63"/>
              </w:rPr>
              <w:t xml:space="preserve">4.9.4  </w:t>
            </w:r>
            <w:r>
              <w:t>Posibilidad de organizar los equipos según la arquitectura buscada</w:t>
            </w:r>
          </w:p>
        </w:tc>
        <w:tc>
          <w:tcPr>
            <w:tcW w:w="737" w:type="dxa"/>
            <w:shd w:val="clear" w:color="auto" w:fill="F7F7F7"/>
            <w:vAlign w:val="center"/>
          </w:tcPr>
          <w:p w14:paraId="6E31C44D" w14:textId="77777777" w:rsidR="00FF3B0F" w:rsidRDefault="005306D5">
            <w:pPr>
              <w:spacing w:before="16" w:after="16" w:line="240" w:lineRule="auto"/>
              <w:jc w:val="center"/>
            </w:pPr>
            <w:r>
              <w:rPr>
                <w:b/>
              </w:rPr>
              <w:t>●</w:t>
            </w:r>
          </w:p>
        </w:tc>
        <w:tc>
          <w:tcPr>
            <w:tcW w:w="737" w:type="dxa"/>
            <w:shd w:val="clear" w:color="auto" w:fill="F7F7F7"/>
            <w:vAlign w:val="center"/>
          </w:tcPr>
          <w:p w14:paraId="0644B39D" w14:textId="77777777" w:rsidR="00FF3B0F" w:rsidRDefault="005306D5">
            <w:pPr>
              <w:spacing w:before="16" w:after="16" w:line="240" w:lineRule="auto"/>
              <w:jc w:val="center"/>
            </w:pPr>
            <w:r>
              <w:rPr>
                <w:b/>
              </w:rPr>
              <w:t>○</w:t>
            </w:r>
          </w:p>
        </w:tc>
        <w:tc>
          <w:tcPr>
            <w:tcW w:w="737" w:type="dxa"/>
            <w:shd w:val="clear" w:color="auto" w:fill="F7F7F7"/>
            <w:vAlign w:val="center"/>
          </w:tcPr>
          <w:p w14:paraId="14AB4868" w14:textId="77777777" w:rsidR="00FF3B0F" w:rsidRDefault="005306D5">
            <w:pPr>
              <w:spacing w:before="16" w:after="16" w:line="240" w:lineRule="auto"/>
              <w:jc w:val="center"/>
            </w:pPr>
            <w:r>
              <w:rPr>
                <w:b/>
              </w:rPr>
              <w:t>○</w:t>
            </w:r>
          </w:p>
        </w:tc>
        <w:tc>
          <w:tcPr>
            <w:tcW w:w="737" w:type="dxa"/>
            <w:shd w:val="clear" w:color="auto" w:fill="F7F7F7"/>
            <w:vAlign w:val="center"/>
          </w:tcPr>
          <w:p w14:paraId="0A05845E" w14:textId="77777777" w:rsidR="00FF3B0F" w:rsidRDefault="005306D5">
            <w:pPr>
              <w:spacing w:before="16" w:after="16" w:line="240" w:lineRule="auto"/>
              <w:jc w:val="center"/>
            </w:pPr>
            <w:r>
              <w:rPr>
                <w:b/>
              </w:rPr>
              <w:t>○</w:t>
            </w:r>
          </w:p>
        </w:tc>
      </w:tr>
      <w:tr w:rsidR="00FF3B0F" w14:paraId="55658D95" w14:textId="77777777">
        <w:trPr>
          <w:cantSplit/>
          <w:trHeight w:hRule="exact" w:val="652"/>
          <w:jc w:val="center"/>
        </w:trPr>
        <w:tc>
          <w:tcPr>
            <w:tcW w:w="6123" w:type="dxa"/>
            <w:vAlign w:val="center"/>
          </w:tcPr>
          <w:p w14:paraId="5B19ADD0" w14:textId="77777777" w:rsidR="00FF3B0F" w:rsidRDefault="005306D5">
            <w:pPr>
              <w:spacing w:before="16" w:after="16" w:line="240" w:lineRule="auto"/>
              <w:ind w:left="142"/>
            </w:pPr>
            <w:r>
              <w:rPr>
                <w:b/>
                <w:color w:val="1F3B63"/>
              </w:rPr>
              <w:t xml:space="preserve">4.9.5  </w:t>
            </w:r>
            <w:r>
              <w:t>Especialidad técnica que no hay que formar</w:t>
            </w:r>
          </w:p>
        </w:tc>
        <w:tc>
          <w:tcPr>
            <w:tcW w:w="737" w:type="dxa"/>
            <w:vAlign w:val="center"/>
          </w:tcPr>
          <w:p w14:paraId="032DE599" w14:textId="77777777" w:rsidR="00FF3B0F" w:rsidRDefault="005306D5">
            <w:pPr>
              <w:spacing w:before="16" w:after="16" w:line="240" w:lineRule="auto"/>
              <w:jc w:val="center"/>
            </w:pPr>
            <w:r>
              <w:rPr>
                <w:b/>
              </w:rPr>
              <w:t>○</w:t>
            </w:r>
          </w:p>
        </w:tc>
        <w:tc>
          <w:tcPr>
            <w:tcW w:w="737" w:type="dxa"/>
            <w:vAlign w:val="center"/>
          </w:tcPr>
          <w:p w14:paraId="12CDDAAD" w14:textId="77777777" w:rsidR="00FF3B0F" w:rsidRDefault="005306D5">
            <w:pPr>
              <w:spacing w:before="16" w:after="16" w:line="240" w:lineRule="auto"/>
              <w:jc w:val="center"/>
            </w:pPr>
            <w:r>
              <w:rPr>
                <w:b/>
              </w:rPr>
              <w:t>●</w:t>
            </w:r>
          </w:p>
        </w:tc>
        <w:tc>
          <w:tcPr>
            <w:tcW w:w="737" w:type="dxa"/>
            <w:vAlign w:val="center"/>
          </w:tcPr>
          <w:p w14:paraId="7E4AEC3F" w14:textId="77777777" w:rsidR="00FF3B0F" w:rsidRDefault="005306D5">
            <w:pPr>
              <w:spacing w:before="16" w:after="16" w:line="240" w:lineRule="auto"/>
              <w:jc w:val="center"/>
            </w:pPr>
            <w:r>
              <w:rPr>
                <w:b/>
              </w:rPr>
              <w:t>●</w:t>
            </w:r>
          </w:p>
        </w:tc>
        <w:tc>
          <w:tcPr>
            <w:tcW w:w="737" w:type="dxa"/>
            <w:vAlign w:val="center"/>
          </w:tcPr>
          <w:p w14:paraId="1B563615" w14:textId="77777777" w:rsidR="00FF3B0F" w:rsidRDefault="005306D5">
            <w:pPr>
              <w:spacing w:before="16" w:after="16" w:line="240" w:lineRule="auto"/>
              <w:jc w:val="center"/>
            </w:pPr>
            <w:r>
              <w:rPr>
                <w:b/>
              </w:rPr>
              <w:t>●</w:t>
            </w:r>
          </w:p>
        </w:tc>
      </w:tr>
    </w:tbl>
    <w:p w14:paraId="33F571AF" w14:textId="77777777" w:rsidR="00FF3B0F" w:rsidRDefault="005306D5">
      <w:pPr>
        <w:spacing w:before="80"/>
        <w:jc w:val="both"/>
      </w:pPr>
      <w:r>
        <w:t>El recuento no decide. Las columnas no son independientes —«desarrollo con equipo propio» y «compra de producto cerrado» reciben veredictos opuestos en 25 de las 26 características—, así que sumar círculos llenos mide sobre todo cuántas veces se preguntó por el control, no cuál alternativa conviene. Lo que resuelve el caso es la primera pregunta del esquema de decisión.</w:t>
      </w:r>
    </w:p>
    <w:p w14:paraId="6A171745" w14:textId="77777777" w:rsidR="00FF3B0F" w:rsidRDefault="005306D5">
      <w:pPr>
        <w:pStyle w:val="Ttulo1"/>
      </w:pPr>
      <w:bookmarkStart w:id="4" w:name="_Toc239258717"/>
      <w:r>
        <w:lastRenderedPageBreak/>
        <w:t>4. Análisis por categoría</w:t>
      </w:r>
      <w:bookmarkEnd w:id="4"/>
    </w:p>
    <w:p w14:paraId="12E4A3F6" w14:textId="77777777" w:rsidR="00FF3B0F" w:rsidRDefault="005306D5">
      <w:pPr>
        <w:spacing w:after="200"/>
        <w:jc w:val="both"/>
      </w:pPr>
      <w:r>
        <w:t>La numeración es la misma de la matriz; el beneficio y el riesgo de cada alternativa tomada en conjunto están en la sección 5. La marca [por contraste] avisa que ese veredicto no está escrito en la fuente: la fuente habla de otra alternativa y el informe lo deduce por oposición.</w:t>
      </w:r>
    </w:p>
    <w:p w14:paraId="6872CB70" w14:textId="77777777" w:rsidR="00FF3B0F" w:rsidRDefault="005306D5">
      <w:pPr>
        <w:pStyle w:val="Ttulo2"/>
      </w:pPr>
      <w:bookmarkStart w:id="5" w:name="_Toc239258718"/>
      <w:r>
        <w:t>4.1 Funcionalidad</w:t>
      </w:r>
      <w:bookmarkEnd w:id="5"/>
    </w:p>
    <w:p w14:paraId="16F374F0" w14:textId="77777777" w:rsidR="00FF3B0F" w:rsidRDefault="005306D5">
      <w:pPr>
        <w:pStyle w:val="Ttulo3"/>
      </w:pPr>
      <w:r>
        <w:t>4.1.1 Capacidad de generar diferenciación frente al competidor</w:t>
      </w:r>
    </w:p>
    <w:p w14:paraId="14D9C839" w14:textId="77777777" w:rsidR="00FF3B0F" w:rsidRDefault="005306D5">
      <w:pPr>
        <w:spacing w:after="80"/>
        <w:jc w:val="both"/>
      </w:pPr>
      <w:r>
        <w:rPr>
          <w:i/>
        </w:rPr>
        <w:t>Si el software puede darle a la organización algo que el competidor no puede tener.</w:t>
      </w:r>
    </w:p>
    <w:p w14:paraId="01E2EC8E" w14:textId="77777777" w:rsidR="00FF3B0F" w:rsidRDefault="005306D5">
      <w:pPr>
        <w:spacing w:after="40"/>
        <w:ind w:left="397"/>
        <w:jc w:val="both"/>
      </w:pPr>
      <w:r>
        <w:rPr>
          <w:b/>
        </w:rPr>
        <w:t xml:space="preserve">Propio ●  </w:t>
      </w:r>
      <w:r>
        <w:t>Es la única vía que produce algo que ningún competidor tiene. Spolsky no admite excepciones: si es la función central del negocio, hay que construirla uno mismo.</w:t>
      </w:r>
      <w:r>
        <w:rPr>
          <w:sz w:val="18"/>
        </w:rPr>
        <w:t xml:space="preserve"> </w:t>
      </w:r>
      <w:hyperlink w:anchor="fuente_14">
        <w:r>
          <w:rPr>
            <w:color w:val="1F3B63"/>
            <w:sz w:val="18"/>
          </w:rPr>
          <w:t>[14]</w:t>
        </w:r>
      </w:hyperlink>
      <w:hyperlink w:anchor="fuente_1">
        <w:r>
          <w:rPr>
            <w:color w:val="1F3B63"/>
            <w:sz w:val="18"/>
          </w:rPr>
          <w:t>[1]</w:t>
        </w:r>
      </w:hyperlink>
    </w:p>
    <w:p w14:paraId="7999BFC0" w14:textId="77777777" w:rsidR="00FF3B0F" w:rsidRDefault="005306D5">
      <w:pPr>
        <w:spacing w:after="40"/>
        <w:ind w:left="397"/>
        <w:jc w:val="both"/>
      </w:pPr>
      <w:r>
        <w:rPr>
          <w:b/>
        </w:rPr>
        <w:t xml:space="preserve">Terceros ●  </w:t>
      </w:r>
      <w:r>
        <w:t>El producto sigue siendo exclusivo de quien lo encarga: la ventaja es de construir a medida, no del modelo de contratación. Spolsky no respalda tercerizar la función central.</w:t>
      </w:r>
      <w:r>
        <w:rPr>
          <w:sz w:val="18"/>
        </w:rPr>
        <w:t xml:space="preserve"> </w:t>
      </w:r>
      <w:hyperlink w:anchor="fuente_15">
        <w:r>
          <w:rPr>
            <w:color w:val="1F3B63"/>
            <w:sz w:val="18"/>
          </w:rPr>
          <w:t>[15]</w:t>
        </w:r>
      </w:hyperlink>
      <w:hyperlink w:anchor="fuente_14">
        <w:r>
          <w:rPr>
            <w:color w:val="1F3B63"/>
            <w:sz w:val="18"/>
          </w:rPr>
          <w:t>[14]</w:t>
        </w:r>
      </w:hyperlink>
    </w:p>
    <w:p w14:paraId="1A5E237D" w14:textId="77777777" w:rsidR="00FF3B0F" w:rsidRDefault="005306D5">
      <w:pPr>
        <w:spacing w:after="40"/>
        <w:ind w:left="397"/>
        <w:jc w:val="both"/>
      </w:pPr>
      <w:r>
        <w:rPr>
          <w:b/>
        </w:rPr>
        <w:t xml:space="preserve">Cerrado ○  </w:t>
      </w:r>
      <w:r>
        <w:t>El competidor compra el mismo producto: para una función estratégica, los paquetes estandarizados no pueden dar diferenciación.</w:t>
      </w:r>
      <w:r>
        <w:rPr>
          <w:sz w:val="18"/>
        </w:rPr>
        <w:t xml:space="preserve"> </w:t>
      </w:r>
      <w:hyperlink w:anchor="fuente_1">
        <w:r>
          <w:rPr>
            <w:color w:val="1F3B63"/>
            <w:sz w:val="18"/>
          </w:rPr>
          <w:t>[1]</w:t>
        </w:r>
      </w:hyperlink>
      <w:hyperlink w:anchor="fuente_16">
        <w:r>
          <w:rPr>
            <w:color w:val="1F3B63"/>
            <w:sz w:val="18"/>
          </w:rPr>
          <w:t>[16]</w:t>
        </w:r>
      </w:hyperlink>
    </w:p>
    <w:p w14:paraId="28842AD5" w14:textId="77777777" w:rsidR="00FF3B0F" w:rsidRDefault="005306D5">
      <w:pPr>
        <w:spacing w:after="40"/>
        <w:ind w:left="397"/>
        <w:jc w:val="both"/>
      </w:pPr>
      <w:r>
        <w:rPr>
          <w:b/>
        </w:rPr>
        <w:t xml:space="preserve">Parametrizable ○  </w:t>
      </w:r>
      <w:r>
        <w:t>La configuración opera sobre un núcleo que el competidor también puede comprar, y lo que excede lo configurable obliga a personalizarlo.</w:t>
      </w:r>
      <w:r>
        <w:rPr>
          <w:sz w:val="18"/>
        </w:rPr>
        <w:t xml:space="preserve"> </w:t>
      </w:r>
      <w:hyperlink w:anchor="fuente_1">
        <w:r>
          <w:rPr>
            <w:color w:val="1F3B63"/>
            <w:sz w:val="18"/>
          </w:rPr>
          <w:t>[1]</w:t>
        </w:r>
      </w:hyperlink>
      <w:hyperlink w:anchor="fuente_6">
        <w:r>
          <w:rPr>
            <w:color w:val="1F3B63"/>
            <w:sz w:val="18"/>
          </w:rPr>
          <w:t>[6]</w:t>
        </w:r>
      </w:hyperlink>
      <w:hyperlink w:anchor="fuente_16">
        <w:r>
          <w:rPr>
            <w:color w:val="1F3B63"/>
            <w:sz w:val="18"/>
          </w:rPr>
          <w:t>[16]</w:t>
        </w:r>
      </w:hyperlink>
    </w:p>
    <w:p w14:paraId="716BFE99" w14:textId="77777777" w:rsidR="00FF3B0F" w:rsidRDefault="005306D5">
      <w:pPr>
        <w:pStyle w:val="Ttulo3"/>
      </w:pPr>
      <w:r>
        <w:t>4.1.2 Ajuste al proceso real sin obligar a modificarlo</w:t>
      </w:r>
    </w:p>
    <w:p w14:paraId="57132FE3" w14:textId="77777777" w:rsidR="00FF3B0F" w:rsidRDefault="005306D5">
      <w:pPr>
        <w:spacing w:after="80"/>
        <w:jc w:val="both"/>
      </w:pPr>
      <w:r>
        <w:rPr>
          <w:i/>
        </w:rPr>
        <w:t>Si el software se adapta al proceso tal como la organización lo ejecuta.</w:t>
      </w:r>
    </w:p>
    <w:p w14:paraId="1620FE7E" w14:textId="77777777" w:rsidR="00FF3B0F" w:rsidRDefault="005306D5">
      <w:pPr>
        <w:spacing w:after="40"/>
        <w:ind w:left="397"/>
        <w:jc w:val="both"/>
      </w:pPr>
      <w:r>
        <w:rPr>
          <w:b/>
        </w:rPr>
        <w:t xml:space="preserve">Propio ●  </w:t>
      </w:r>
      <w:r>
        <w:t>El sistema se define a partir de los requerimientos de la organización, así que cubrir lo declarado y también lo implícito es el objetivo del diseño.</w:t>
      </w:r>
      <w:r>
        <w:rPr>
          <w:sz w:val="18"/>
        </w:rPr>
        <w:t xml:space="preserve"> </w:t>
      </w:r>
      <w:hyperlink w:anchor="fuente_3">
        <w:r>
          <w:rPr>
            <w:color w:val="1F3B63"/>
            <w:sz w:val="18"/>
          </w:rPr>
          <w:t>[3]</w:t>
        </w:r>
      </w:hyperlink>
      <w:hyperlink w:anchor="fuente_17">
        <w:r>
          <w:rPr>
            <w:color w:val="1F3B63"/>
            <w:sz w:val="18"/>
          </w:rPr>
          <w:t>[17]</w:t>
        </w:r>
      </w:hyperlink>
    </w:p>
    <w:p w14:paraId="0ACFF840" w14:textId="77777777" w:rsidR="00FF3B0F" w:rsidRDefault="005306D5">
      <w:pPr>
        <w:spacing w:after="40"/>
        <w:ind w:left="397"/>
        <w:jc w:val="both"/>
      </w:pPr>
      <w:r>
        <w:rPr>
          <w:b/>
        </w:rPr>
        <w:t xml:space="preserve">Terceros ●  </w:t>
      </w:r>
      <w:r>
        <w:t>El punto de partida sigue siendo los requerimientos de la organización: cambia quién ejecuta, no el diseño. El control y la flexibilidad se pagan con esfuerzo y mantenimiento.</w:t>
      </w:r>
      <w:r>
        <w:rPr>
          <w:sz w:val="18"/>
        </w:rPr>
        <w:t xml:space="preserve"> </w:t>
      </w:r>
      <w:hyperlink w:anchor="fuente_15">
        <w:r>
          <w:rPr>
            <w:color w:val="1F3B63"/>
            <w:sz w:val="18"/>
          </w:rPr>
          <w:t>[15]</w:t>
        </w:r>
      </w:hyperlink>
      <w:hyperlink w:anchor="fuente_3">
        <w:r>
          <w:rPr>
            <w:color w:val="1F3B63"/>
            <w:sz w:val="18"/>
          </w:rPr>
          <w:t>[3]</w:t>
        </w:r>
      </w:hyperlink>
    </w:p>
    <w:p w14:paraId="677365DF" w14:textId="77777777" w:rsidR="00FF3B0F" w:rsidRDefault="005306D5">
      <w:pPr>
        <w:spacing w:after="40"/>
        <w:ind w:left="397"/>
        <w:jc w:val="both"/>
      </w:pPr>
      <w:r>
        <w:rPr>
          <w:b/>
        </w:rPr>
        <w:t xml:space="preserve">Cerrado ○  </w:t>
      </w:r>
      <w:r>
        <w:t>La indicación es la inversa: comprar el paquete y ajustar el proceso. Los desajustes van a ocurrir, y descubrirlos tarde fue el problema más frecuente en los programas auditados.</w:t>
      </w:r>
      <w:r>
        <w:rPr>
          <w:sz w:val="18"/>
        </w:rPr>
        <w:t xml:space="preserve"> </w:t>
      </w:r>
      <w:hyperlink w:anchor="fuente_1">
        <w:r>
          <w:rPr>
            <w:color w:val="1F3B63"/>
            <w:sz w:val="18"/>
          </w:rPr>
          <w:t>[1]</w:t>
        </w:r>
      </w:hyperlink>
      <w:hyperlink w:anchor="fuente_3">
        <w:r>
          <w:rPr>
            <w:color w:val="1F3B63"/>
            <w:sz w:val="18"/>
          </w:rPr>
          <w:t>[3]</w:t>
        </w:r>
      </w:hyperlink>
    </w:p>
    <w:p w14:paraId="511805CF" w14:textId="77777777" w:rsidR="00FF3B0F" w:rsidRDefault="005306D5">
      <w:pPr>
        <w:spacing w:after="40"/>
        <w:ind w:left="397"/>
        <w:jc w:val="both"/>
      </w:pPr>
      <w:r>
        <w:rPr>
          <w:b/>
        </w:rPr>
        <w:t xml:space="preserve">Parametrizable ○  </w:t>
      </w:r>
      <w:r>
        <w:t>La configuración acerca el producto al proceso, pero lo que queda afuera obliga a personalizarlo. Fowler cita una personalización de 300.000 líneas: a esa escala ya es desarrollo de software, sobre una plataforma que no está hecha para eso.</w:t>
      </w:r>
      <w:r>
        <w:rPr>
          <w:sz w:val="18"/>
        </w:rPr>
        <w:t xml:space="preserve"> </w:t>
      </w:r>
      <w:hyperlink w:anchor="fuente_18">
        <w:r>
          <w:rPr>
            <w:color w:val="1F3B63"/>
            <w:sz w:val="18"/>
          </w:rPr>
          <w:t>[18]</w:t>
        </w:r>
      </w:hyperlink>
      <w:hyperlink w:anchor="fuente_6">
        <w:r>
          <w:rPr>
            <w:color w:val="1F3B63"/>
            <w:sz w:val="18"/>
          </w:rPr>
          <w:t>[6]</w:t>
        </w:r>
      </w:hyperlink>
    </w:p>
    <w:p w14:paraId="21A3C253" w14:textId="77777777" w:rsidR="00FF3B0F" w:rsidRDefault="005306D5">
      <w:pPr>
        <w:pStyle w:val="Ttulo3"/>
      </w:pPr>
      <w:r>
        <w:t>4.1.3 Prácticas y estándares de la industria que llegan con el software</w:t>
      </w:r>
    </w:p>
    <w:p w14:paraId="2262A1C0" w14:textId="77777777" w:rsidR="00FF3B0F" w:rsidRDefault="005306D5">
      <w:pPr>
        <w:spacing w:after="80"/>
        <w:jc w:val="both"/>
      </w:pPr>
      <w:r>
        <w:rPr>
          <w:i/>
        </w:rPr>
        <w:t>Si el software trae un modo de ejecutar el proceso que otras del sector ya depuraron.</w:t>
      </w:r>
    </w:p>
    <w:p w14:paraId="3CE4140C" w14:textId="77777777" w:rsidR="00FF3B0F" w:rsidRDefault="005306D5">
      <w:pPr>
        <w:spacing w:after="40"/>
        <w:ind w:left="397"/>
        <w:jc w:val="both"/>
      </w:pPr>
      <w:r>
        <w:rPr>
          <w:b/>
        </w:rPr>
        <w:t xml:space="preserve">Propio ○  </w:t>
      </w:r>
      <w:r>
        <w:t>No llega ningún modelo de referencia: el proceso hay que definirlo entero. La auditoría de Crossrail atribuye parte de su dificultad a los diseños propios y a la falta de estandarización.</w:t>
      </w:r>
      <w:r>
        <w:rPr>
          <w:sz w:val="18"/>
        </w:rPr>
        <w:t xml:space="preserve"> </w:t>
      </w:r>
      <w:hyperlink w:anchor="fuente_3">
        <w:r>
          <w:rPr>
            <w:color w:val="1F3B63"/>
            <w:sz w:val="18"/>
          </w:rPr>
          <w:t>[3]</w:t>
        </w:r>
      </w:hyperlink>
      <w:hyperlink w:anchor="fuente_4">
        <w:r>
          <w:rPr>
            <w:color w:val="1F3B63"/>
            <w:sz w:val="18"/>
          </w:rPr>
          <w:t>[4]</w:t>
        </w:r>
      </w:hyperlink>
      <w:hyperlink w:anchor="fuente_19">
        <w:r>
          <w:rPr>
            <w:color w:val="1F3B63"/>
            <w:sz w:val="18"/>
          </w:rPr>
          <w:t>[19]</w:t>
        </w:r>
      </w:hyperlink>
    </w:p>
    <w:p w14:paraId="14E1ED46" w14:textId="77777777" w:rsidR="00FF3B0F" w:rsidRDefault="005306D5">
      <w:pPr>
        <w:spacing w:after="40"/>
        <w:ind w:left="397"/>
        <w:jc w:val="both"/>
      </w:pPr>
      <w:r>
        <w:rPr>
          <w:b/>
        </w:rPr>
        <w:t xml:space="preserve">Terceros ○  </w:t>
      </w:r>
      <w:r>
        <w:t>El proceso también se diseña a medida y lo releva alguien externo. El Ejército británico puso diez mil especificaciones en el contrato sin antes simplificar su proceso: terminó con un desarrollo a medida que tardó más de lo previsto.</w:t>
      </w:r>
      <w:r>
        <w:rPr>
          <w:sz w:val="18"/>
        </w:rPr>
        <w:t xml:space="preserve"> </w:t>
      </w:r>
      <w:hyperlink w:anchor="fuente_3">
        <w:r>
          <w:rPr>
            <w:color w:val="1F3B63"/>
            <w:sz w:val="18"/>
          </w:rPr>
          <w:t>[3]</w:t>
        </w:r>
      </w:hyperlink>
      <w:hyperlink w:anchor="fuente_20">
        <w:r>
          <w:rPr>
            <w:color w:val="1F3B63"/>
            <w:sz w:val="18"/>
          </w:rPr>
          <w:t>[20]</w:t>
        </w:r>
      </w:hyperlink>
      <w:hyperlink w:anchor="fuente_19">
        <w:r>
          <w:rPr>
            <w:color w:val="1F3B63"/>
            <w:sz w:val="18"/>
          </w:rPr>
          <w:t>[19]</w:t>
        </w:r>
      </w:hyperlink>
    </w:p>
    <w:p w14:paraId="3A5852E6" w14:textId="77777777" w:rsidR="00FF3B0F" w:rsidRDefault="005306D5">
      <w:pPr>
        <w:spacing w:after="40"/>
        <w:ind w:left="397"/>
        <w:jc w:val="both"/>
      </w:pPr>
      <w:r>
        <w:rPr>
          <w:b/>
        </w:rPr>
        <w:t xml:space="preserve">Cerrado ●  </w:t>
      </w:r>
      <w:r>
        <w:t>El producto trae incorporadas las prácticas de industria, que son terreno de competencia entre fabricantes. Tres de cinco organismos federales informaron beneficios cuantificables.</w:t>
      </w:r>
      <w:r>
        <w:rPr>
          <w:sz w:val="18"/>
        </w:rPr>
        <w:t xml:space="preserve"> </w:t>
      </w:r>
      <w:hyperlink w:anchor="fuente_21">
        <w:r>
          <w:rPr>
            <w:color w:val="1F3B63"/>
            <w:sz w:val="18"/>
          </w:rPr>
          <w:t>[21]</w:t>
        </w:r>
      </w:hyperlink>
      <w:hyperlink w:anchor="fuente_22">
        <w:r>
          <w:rPr>
            <w:color w:val="1F3B63"/>
            <w:sz w:val="18"/>
          </w:rPr>
          <w:t>[22]</w:t>
        </w:r>
      </w:hyperlink>
    </w:p>
    <w:p w14:paraId="69710B6F" w14:textId="77777777" w:rsidR="00FF3B0F" w:rsidRDefault="005306D5">
      <w:pPr>
        <w:spacing w:after="40"/>
        <w:ind w:left="397"/>
        <w:jc w:val="both"/>
      </w:pPr>
      <w:r>
        <w:rPr>
          <w:b/>
        </w:rPr>
        <w:t xml:space="preserve">Parametrizable ●  </w:t>
      </w:r>
      <w:r>
        <w:t>El núcleo llega estandarizado y aporta la referencia de proceso de la industria. La indicación es alinear el proceso al software y personalizar lo mínimo.</w:t>
      </w:r>
      <w:r>
        <w:rPr>
          <w:sz w:val="18"/>
        </w:rPr>
        <w:t xml:space="preserve"> </w:t>
      </w:r>
      <w:hyperlink w:anchor="fuente_23">
        <w:r>
          <w:rPr>
            <w:color w:val="1F3B63"/>
            <w:sz w:val="18"/>
          </w:rPr>
          <w:t>[23]</w:t>
        </w:r>
      </w:hyperlink>
      <w:hyperlink w:anchor="fuente_21">
        <w:r>
          <w:rPr>
            <w:color w:val="1F3B63"/>
            <w:sz w:val="18"/>
          </w:rPr>
          <w:t>[21]</w:t>
        </w:r>
      </w:hyperlink>
    </w:p>
    <w:p w14:paraId="30D07EE9" w14:textId="77777777" w:rsidR="00FF3B0F" w:rsidRDefault="005306D5">
      <w:pPr>
        <w:pStyle w:val="Ttulo3"/>
      </w:pPr>
      <w:r>
        <w:lastRenderedPageBreak/>
        <w:t>4.1.4 Facilidad para adaptar el sistema a un cambio del negocio</w:t>
      </w:r>
    </w:p>
    <w:p w14:paraId="49A18577" w14:textId="77777777" w:rsidR="00FF3B0F" w:rsidRDefault="005306D5">
      <w:pPr>
        <w:spacing w:after="80"/>
        <w:jc w:val="both"/>
      </w:pPr>
      <w:r>
        <w:rPr>
          <w:i/>
        </w:rPr>
        <w:t>Si la organización puede cubrir una necesidad nueva sin abrir un desarrollo.</w:t>
      </w:r>
    </w:p>
    <w:p w14:paraId="5489F162" w14:textId="77777777" w:rsidR="00FF3B0F" w:rsidRDefault="005306D5">
      <w:pPr>
        <w:spacing w:after="40"/>
        <w:ind w:left="397"/>
        <w:jc w:val="both"/>
      </w:pPr>
      <w:r>
        <w:rPr>
          <w:b/>
        </w:rPr>
        <w:t xml:space="preserve">Propio ○  </w:t>
      </w:r>
      <w:r>
        <w:t>Todo cambio del negocio se traduce en construir: cada necesidad nueva vuelve a la cola del equipo.</w:t>
      </w:r>
      <w:r>
        <w:rPr>
          <w:i/>
        </w:rPr>
        <w:t xml:space="preserve"> [por contraste]</w:t>
      </w:r>
      <w:r>
        <w:rPr>
          <w:sz w:val="18"/>
        </w:rPr>
        <w:t xml:space="preserve"> </w:t>
      </w:r>
      <w:hyperlink w:anchor="fuente_3">
        <w:r>
          <w:rPr>
            <w:color w:val="1F3B63"/>
            <w:sz w:val="18"/>
          </w:rPr>
          <w:t>[3]</w:t>
        </w:r>
      </w:hyperlink>
      <w:hyperlink w:anchor="fuente_24">
        <w:r>
          <w:rPr>
            <w:color w:val="1F3B63"/>
            <w:sz w:val="18"/>
          </w:rPr>
          <w:t>[24]</w:t>
        </w:r>
      </w:hyperlink>
    </w:p>
    <w:p w14:paraId="4AFE1D8F" w14:textId="77777777" w:rsidR="00FF3B0F" w:rsidRDefault="005306D5">
      <w:pPr>
        <w:spacing w:after="40"/>
        <w:ind w:left="397"/>
        <w:jc w:val="both"/>
      </w:pPr>
      <w:r>
        <w:rPr>
          <w:b/>
        </w:rPr>
        <w:t xml:space="preserve">Terceros ○  </w:t>
      </w:r>
      <w:r>
        <w:t>Cada cambio se vuelve a contratar, con el costo administrativo y el tiempo de convocar otra vez a quien construyó.</w:t>
      </w:r>
      <w:r>
        <w:rPr>
          <w:sz w:val="18"/>
        </w:rPr>
        <w:t xml:space="preserve"> </w:t>
      </w:r>
      <w:hyperlink w:anchor="fuente_25">
        <w:r>
          <w:rPr>
            <w:color w:val="1F3B63"/>
            <w:sz w:val="18"/>
          </w:rPr>
          <w:t>[25]</w:t>
        </w:r>
      </w:hyperlink>
      <w:hyperlink w:anchor="fuente_26">
        <w:r>
          <w:rPr>
            <w:color w:val="1F3B63"/>
            <w:sz w:val="18"/>
          </w:rPr>
          <w:t>[26]</w:t>
        </w:r>
      </w:hyperlink>
    </w:p>
    <w:p w14:paraId="11C0D271" w14:textId="77777777" w:rsidR="00FF3B0F" w:rsidRDefault="005306D5">
      <w:pPr>
        <w:spacing w:after="40"/>
        <w:ind w:left="397"/>
        <w:jc w:val="both"/>
      </w:pPr>
      <w:r>
        <w:rPr>
          <w:b/>
        </w:rPr>
        <w:t xml:space="preserve">Cerrado ○  </w:t>
      </w:r>
      <w:r>
        <w:t>Sin capa de configuración no hay margen: lo que el producto no contempla queda sin resolver.</w:t>
      </w:r>
      <w:r>
        <w:rPr>
          <w:sz w:val="18"/>
        </w:rPr>
        <w:t xml:space="preserve"> </w:t>
      </w:r>
      <w:hyperlink w:anchor="fuente_3">
        <w:r>
          <w:rPr>
            <w:color w:val="1F3B63"/>
            <w:sz w:val="18"/>
          </w:rPr>
          <w:t>[3]</w:t>
        </w:r>
      </w:hyperlink>
      <w:hyperlink w:anchor="fuente_1">
        <w:r>
          <w:rPr>
            <w:color w:val="1F3B63"/>
            <w:sz w:val="18"/>
          </w:rPr>
          <w:t>[1]</w:t>
        </w:r>
      </w:hyperlink>
    </w:p>
    <w:p w14:paraId="2D55E436" w14:textId="77777777" w:rsidR="00FF3B0F" w:rsidRDefault="005306D5">
      <w:pPr>
        <w:spacing w:after="40"/>
        <w:ind w:left="397"/>
        <w:jc w:val="both"/>
      </w:pPr>
      <w:r>
        <w:rPr>
          <w:b/>
        </w:rPr>
        <w:t xml:space="preserve">Parametrizable ●  </w:t>
      </w:r>
      <w:r>
        <w:t>Es el terreno propio de estos productos: los fabricantes invierten fuerte en configurabilidad y mecanismos de extensión. Fuera de esos límites, adaptar vuelve a ser difícil.</w:t>
      </w:r>
      <w:r>
        <w:rPr>
          <w:sz w:val="18"/>
        </w:rPr>
        <w:t xml:space="preserve"> </w:t>
      </w:r>
      <w:hyperlink w:anchor="fuente_16">
        <w:r>
          <w:rPr>
            <w:color w:val="1F3B63"/>
            <w:sz w:val="18"/>
          </w:rPr>
          <w:t>[16]</w:t>
        </w:r>
      </w:hyperlink>
      <w:hyperlink w:anchor="fuente_27">
        <w:r>
          <w:rPr>
            <w:color w:val="1F3B63"/>
            <w:sz w:val="18"/>
          </w:rPr>
          <w:t>[27]</w:t>
        </w:r>
      </w:hyperlink>
      <w:hyperlink w:anchor="fuente_18">
        <w:r>
          <w:rPr>
            <w:color w:val="1F3B63"/>
            <w:sz w:val="18"/>
          </w:rPr>
          <w:t>[18]</w:t>
        </w:r>
      </w:hyperlink>
    </w:p>
    <w:p w14:paraId="5320B712" w14:textId="77777777" w:rsidR="00FF3B0F" w:rsidRDefault="005306D5">
      <w:pPr>
        <w:pStyle w:val="Ttulo3"/>
      </w:pPr>
      <w:r>
        <w:t>4.1.5 Dimensionamiento según el uso real del sistema</w:t>
      </w:r>
    </w:p>
    <w:p w14:paraId="291C0402" w14:textId="77777777" w:rsidR="00FF3B0F" w:rsidRDefault="005306D5">
      <w:pPr>
        <w:spacing w:after="80"/>
        <w:jc w:val="both"/>
      </w:pPr>
      <w:r>
        <w:rPr>
          <w:i/>
        </w:rPr>
        <w:t>Si el volumen, el crecimiento y la tolerancia a fallas se fijan según lo que la operación requiere.</w:t>
      </w:r>
    </w:p>
    <w:p w14:paraId="32D28BBB" w14:textId="77777777" w:rsidR="00FF3B0F" w:rsidRDefault="005306D5">
      <w:pPr>
        <w:spacing w:after="40"/>
        <w:ind w:left="397"/>
        <w:jc w:val="both"/>
      </w:pPr>
      <w:r>
        <w:rPr>
          <w:b/>
        </w:rPr>
        <w:t xml:space="preserve">Propio ●  </w:t>
      </w:r>
      <w:r>
        <w:t>La arquitectura se dimensiona según el uso y el rendimiento que el caso requiere, y se rediseña cuando ese uso cambia. La confiabilidad se fija como requisito y se mide.</w:t>
      </w:r>
      <w:r>
        <w:rPr>
          <w:sz w:val="18"/>
        </w:rPr>
        <w:t xml:space="preserve"> </w:t>
      </w:r>
      <w:hyperlink w:anchor="fuente_3">
        <w:r>
          <w:rPr>
            <w:color w:val="1F3B63"/>
            <w:sz w:val="18"/>
          </w:rPr>
          <w:t>[3]</w:t>
        </w:r>
      </w:hyperlink>
      <w:hyperlink w:anchor="fuente_17">
        <w:r>
          <w:rPr>
            <w:color w:val="1F3B63"/>
            <w:sz w:val="18"/>
          </w:rPr>
          <w:t>[17]</w:t>
        </w:r>
      </w:hyperlink>
      <w:hyperlink w:anchor="fuente_12">
        <w:r>
          <w:rPr>
            <w:color w:val="1F3B63"/>
            <w:sz w:val="18"/>
          </w:rPr>
          <w:t>[12]</w:t>
        </w:r>
      </w:hyperlink>
    </w:p>
    <w:p w14:paraId="524757F4" w14:textId="77777777" w:rsidR="00FF3B0F" w:rsidRDefault="005306D5">
      <w:pPr>
        <w:spacing w:after="40"/>
        <w:ind w:left="397"/>
        <w:jc w:val="both"/>
      </w:pPr>
      <w:r>
        <w:rPr>
          <w:b/>
        </w:rPr>
        <w:t xml:space="preserve">Terceros ●  </w:t>
      </w:r>
      <w:r>
        <w:t>El objetivo de escala y de comportamiento ante fallas también se especifica de antemano y admite rediseño cuando el uso cambia.</w:t>
      </w:r>
      <w:r>
        <w:rPr>
          <w:sz w:val="18"/>
        </w:rPr>
        <w:t xml:space="preserve"> </w:t>
      </w:r>
      <w:hyperlink w:anchor="fuente_15">
        <w:r>
          <w:rPr>
            <w:color w:val="1F3B63"/>
            <w:sz w:val="18"/>
          </w:rPr>
          <w:t>[15]</w:t>
        </w:r>
      </w:hyperlink>
      <w:hyperlink w:anchor="fuente_3">
        <w:r>
          <w:rPr>
            <w:color w:val="1F3B63"/>
            <w:sz w:val="18"/>
          </w:rPr>
          <w:t>[3]</w:t>
        </w:r>
      </w:hyperlink>
      <w:hyperlink w:anchor="fuente_17">
        <w:r>
          <w:rPr>
            <w:color w:val="1F3B63"/>
            <w:sz w:val="18"/>
          </w:rPr>
          <w:t>[17]</w:t>
        </w:r>
      </w:hyperlink>
    </w:p>
    <w:p w14:paraId="16060F60" w14:textId="77777777" w:rsidR="00FF3B0F" w:rsidRDefault="005306D5">
      <w:pPr>
        <w:spacing w:after="40"/>
        <w:ind w:left="397"/>
        <w:jc w:val="both"/>
      </w:pPr>
      <w:r>
        <w:rPr>
          <w:b/>
        </w:rPr>
        <w:t xml:space="preserve">Cerrado ○  </w:t>
      </w:r>
      <w:r>
        <w:t>La adaptación a entornos que evolucionan y el comportamiento ante fallas ya los decidió el fabricante.</w:t>
      </w:r>
      <w:r>
        <w:rPr>
          <w:sz w:val="18"/>
        </w:rPr>
        <w:t xml:space="preserve"> </w:t>
      </w:r>
      <w:hyperlink w:anchor="fuente_3">
        <w:r>
          <w:rPr>
            <w:color w:val="1F3B63"/>
            <w:sz w:val="18"/>
          </w:rPr>
          <w:t>[3]</w:t>
        </w:r>
      </w:hyperlink>
      <w:hyperlink w:anchor="fuente_17">
        <w:r>
          <w:rPr>
            <w:color w:val="1F3B63"/>
            <w:sz w:val="18"/>
          </w:rPr>
          <w:t>[17]</w:t>
        </w:r>
      </w:hyperlink>
    </w:p>
    <w:p w14:paraId="0188804A" w14:textId="77777777" w:rsidR="00FF3B0F" w:rsidRDefault="005306D5">
      <w:pPr>
        <w:spacing w:after="40"/>
        <w:ind w:left="397"/>
        <w:jc w:val="both"/>
      </w:pPr>
      <w:r>
        <w:rPr>
          <w:b/>
        </w:rPr>
        <w:t xml:space="preserve">Parametrizable ○  </w:t>
      </w:r>
      <w:r>
        <w:t>El techo de escalabilidad es del producto, y configurar no modifica las decisiones de arquitectura que determinan cómo se comporta cuando algo falla.</w:t>
      </w:r>
      <w:r>
        <w:rPr>
          <w:sz w:val="18"/>
        </w:rPr>
        <w:t xml:space="preserve"> </w:t>
      </w:r>
      <w:hyperlink w:anchor="fuente_3">
        <w:r>
          <w:rPr>
            <w:color w:val="1F3B63"/>
            <w:sz w:val="18"/>
          </w:rPr>
          <w:t>[3]</w:t>
        </w:r>
      </w:hyperlink>
      <w:hyperlink w:anchor="fuente_18">
        <w:r>
          <w:rPr>
            <w:color w:val="1F3B63"/>
            <w:sz w:val="18"/>
          </w:rPr>
          <w:t>[18]</w:t>
        </w:r>
      </w:hyperlink>
      <w:hyperlink w:anchor="fuente_17">
        <w:r>
          <w:rPr>
            <w:color w:val="1F3B63"/>
            <w:sz w:val="18"/>
          </w:rPr>
          <w:t>[17]</w:t>
        </w:r>
      </w:hyperlink>
    </w:p>
    <w:p w14:paraId="6CAE4303" w14:textId="77777777" w:rsidR="00FF3B0F" w:rsidRDefault="005306D5">
      <w:pPr>
        <w:pStyle w:val="Ttulo2"/>
      </w:pPr>
      <w:bookmarkStart w:id="6" w:name="_Toc239258719"/>
      <w:r>
        <w:t>4.2 Costos y su estructura</w:t>
      </w:r>
      <w:bookmarkEnd w:id="6"/>
    </w:p>
    <w:p w14:paraId="744DC9C4" w14:textId="77777777" w:rsidR="00FF3B0F" w:rsidRDefault="005306D5">
      <w:pPr>
        <w:pStyle w:val="Ttulo3"/>
      </w:pPr>
      <w:r>
        <w:t>4.2.1 Capacidad de absorber un desvío extremo sin comprometer a la empresa</w:t>
      </w:r>
    </w:p>
    <w:p w14:paraId="67425D5C" w14:textId="77777777" w:rsidR="00FF3B0F" w:rsidRDefault="005306D5">
      <w:pPr>
        <w:spacing w:after="80"/>
        <w:jc w:val="both"/>
      </w:pPr>
      <w:r>
        <w:rPr>
          <w:i/>
        </w:rPr>
        <w:t>Qué ocurre si la iniciativa sale mucho peor de lo previsto.</w:t>
      </w:r>
    </w:p>
    <w:p w14:paraId="780487AE" w14:textId="77777777" w:rsidR="00FF3B0F" w:rsidRDefault="005306D5">
      <w:pPr>
        <w:spacing w:after="40"/>
        <w:ind w:left="397"/>
        <w:jc w:val="both"/>
      </w:pPr>
      <w:r>
        <w:rPr>
          <w:b/>
        </w:rPr>
        <w:t xml:space="preserve">Propio ○  </w:t>
      </w:r>
      <w:r>
        <w:t>Construir es donde aparecen los desvíos extremos de costo: uno de cada seis proyectos se pasa 200%. Flyvbjerg propone una prueba de esfuerzo: si se pasara 400% y rindiera el 25% de los beneficios, ¿la empresa lo absorbe?</w:t>
      </w:r>
      <w:r>
        <w:rPr>
          <w:sz w:val="18"/>
        </w:rPr>
        <w:t xml:space="preserve"> </w:t>
      </w:r>
      <w:hyperlink w:anchor="fuente_5">
        <w:r>
          <w:rPr>
            <w:color w:val="1F3B63"/>
            <w:sz w:val="18"/>
          </w:rPr>
          <w:t>[5]</w:t>
        </w:r>
      </w:hyperlink>
    </w:p>
    <w:p w14:paraId="60D628AD" w14:textId="77777777" w:rsidR="00FF3B0F" w:rsidRDefault="005306D5">
      <w:pPr>
        <w:spacing w:after="40"/>
        <w:ind w:left="397"/>
        <w:jc w:val="both"/>
      </w:pPr>
      <w:r>
        <w:rPr>
          <w:b/>
        </w:rPr>
        <w:t xml:space="preserve">Terceros ○  </w:t>
      </w:r>
      <w:r>
        <w:t>El contrato traslada parte del riesgo pero no lo elimina: un proyecto de cinco millones de dólares terminó en una pérdida cercana a doscientos millones.</w:t>
      </w:r>
      <w:r>
        <w:rPr>
          <w:sz w:val="18"/>
        </w:rPr>
        <w:t xml:space="preserve"> </w:t>
      </w:r>
      <w:hyperlink w:anchor="fuente_5">
        <w:r>
          <w:rPr>
            <w:color w:val="1F3B63"/>
            <w:sz w:val="18"/>
          </w:rPr>
          <w:t>[5]</w:t>
        </w:r>
      </w:hyperlink>
    </w:p>
    <w:p w14:paraId="12E36877" w14:textId="77777777" w:rsidR="00FF3B0F" w:rsidRDefault="005306D5">
      <w:pPr>
        <w:spacing w:after="40"/>
        <w:ind w:left="397"/>
        <w:jc w:val="both"/>
      </w:pPr>
      <w:r>
        <w:rPr>
          <w:b/>
        </w:rPr>
        <w:t xml:space="preserve">Cerrado ●  </w:t>
      </w:r>
      <w:r>
        <w:t>No se asume el riesgo de construir, donde se concentran los desvíos extremos. Queda por absorber otra cosa: cada versión nueva, el fin de vida del producto y su integración con el resto del sistema.</w:t>
      </w:r>
      <w:r>
        <w:rPr>
          <w:sz w:val="18"/>
        </w:rPr>
        <w:t xml:space="preserve"> </w:t>
      </w:r>
      <w:hyperlink w:anchor="fuente_5">
        <w:r>
          <w:rPr>
            <w:color w:val="1F3B63"/>
            <w:sz w:val="18"/>
          </w:rPr>
          <w:t>[5]</w:t>
        </w:r>
      </w:hyperlink>
      <w:hyperlink w:anchor="fuente_3">
        <w:r>
          <w:rPr>
            <w:color w:val="1F3B63"/>
            <w:sz w:val="18"/>
          </w:rPr>
          <w:t>[3]</w:t>
        </w:r>
      </w:hyperlink>
    </w:p>
    <w:p w14:paraId="392B5B1F" w14:textId="77777777" w:rsidR="00FF3B0F" w:rsidRDefault="005306D5">
      <w:pPr>
        <w:spacing w:after="40"/>
        <w:ind w:left="397"/>
        <w:jc w:val="both"/>
      </w:pPr>
      <w:r>
        <w:rPr>
          <w:b/>
        </w:rPr>
        <w:t xml:space="preserve">Parametrizable ○  </w:t>
      </w:r>
      <w:r>
        <w:t>El desvío llega a cientos de millones de dólares: 580 de pérdida en Lidl y 585 de recuperación en National Grid. Y sin llegar tan alto se abandona igual: dos contratistas auditados cortaron tras nueve meses y 11,5 millones, y tras dos años y 3,6 millones.</w:t>
      </w:r>
      <w:r>
        <w:rPr>
          <w:sz w:val="18"/>
        </w:rPr>
        <w:t xml:space="preserve"> </w:t>
      </w:r>
      <w:hyperlink w:anchor="fuente_7">
        <w:r>
          <w:rPr>
            <w:color w:val="1F3B63"/>
            <w:sz w:val="18"/>
          </w:rPr>
          <w:t>[7]</w:t>
        </w:r>
      </w:hyperlink>
      <w:hyperlink w:anchor="fuente_28">
        <w:r>
          <w:rPr>
            <w:color w:val="1F3B63"/>
            <w:sz w:val="18"/>
          </w:rPr>
          <w:t>[28]</w:t>
        </w:r>
      </w:hyperlink>
    </w:p>
    <w:p w14:paraId="4F538F73" w14:textId="77777777" w:rsidR="00FF3B0F" w:rsidRDefault="005306D5">
      <w:pPr>
        <w:pStyle w:val="Ttulo3"/>
      </w:pPr>
      <w:r>
        <w:t>4.2.2 Visibilidad de la deuda técnica que se acumula</w:t>
      </w:r>
    </w:p>
    <w:p w14:paraId="53B30ACA" w14:textId="77777777" w:rsidR="00FF3B0F" w:rsidRDefault="005306D5">
      <w:pPr>
        <w:spacing w:after="80"/>
        <w:jc w:val="both"/>
      </w:pPr>
      <w:r>
        <w:rPr>
          <w:i/>
        </w:rPr>
        <w:t>Si la organización puede ver y gestionar el deterioro interno que encarece cada cambio futuro.</w:t>
      </w:r>
    </w:p>
    <w:p w14:paraId="16B1C353" w14:textId="77777777" w:rsidR="00FF3B0F" w:rsidRDefault="005306D5">
      <w:pPr>
        <w:spacing w:after="40"/>
        <w:ind w:left="397"/>
        <w:jc w:val="both"/>
      </w:pPr>
      <w:r>
        <w:rPr>
          <w:b/>
        </w:rPr>
        <w:t xml:space="preserve">Propio ●  </w:t>
      </w:r>
      <w:r>
        <w:t>La deuda está en código propio: se ve y se decide cuándo pagarla, y el interés es el esfuerzo extra de cada modificación. Aun así, la visibilidad nunca es completa.</w:t>
      </w:r>
      <w:r>
        <w:rPr>
          <w:sz w:val="18"/>
        </w:rPr>
        <w:t xml:space="preserve"> </w:t>
      </w:r>
      <w:hyperlink w:anchor="fuente_29">
        <w:r>
          <w:rPr>
            <w:color w:val="1F3B63"/>
            <w:sz w:val="18"/>
          </w:rPr>
          <w:t>[29]</w:t>
        </w:r>
      </w:hyperlink>
      <w:hyperlink w:anchor="fuente_13">
        <w:r>
          <w:rPr>
            <w:color w:val="1F3B63"/>
            <w:sz w:val="18"/>
          </w:rPr>
          <w:t>[13]</w:t>
        </w:r>
      </w:hyperlink>
    </w:p>
    <w:p w14:paraId="3C9EF5C2" w14:textId="77777777" w:rsidR="00FF3B0F" w:rsidRDefault="005306D5">
      <w:pPr>
        <w:spacing w:after="40"/>
        <w:ind w:left="397"/>
        <w:jc w:val="both"/>
      </w:pPr>
      <w:r>
        <w:rPr>
          <w:b/>
        </w:rPr>
        <w:lastRenderedPageBreak/>
        <w:t xml:space="preserve">Terceros ○  </w:t>
      </w:r>
      <w:r>
        <w:t>La deuda queda invisible porque no hay equipo propio que la observe, y su causa principal —la presión de cronograma— es la que rige un contrato con plazo cerrado.</w:t>
      </w:r>
      <w:r>
        <w:rPr>
          <w:sz w:val="18"/>
        </w:rPr>
        <w:t xml:space="preserve"> </w:t>
      </w:r>
      <w:hyperlink w:anchor="fuente_11">
        <w:r>
          <w:rPr>
            <w:color w:val="1F3B63"/>
            <w:sz w:val="18"/>
          </w:rPr>
          <w:t>[11]</w:t>
        </w:r>
      </w:hyperlink>
    </w:p>
    <w:p w14:paraId="3946EC91" w14:textId="77777777" w:rsidR="00FF3B0F" w:rsidRDefault="005306D5">
      <w:pPr>
        <w:spacing w:after="40"/>
        <w:ind w:left="397"/>
        <w:jc w:val="both"/>
      </w:pPr>
      <w:r>
        <w:rPr>
          <w:b/>
        </w:rPr>
        <w:t xml:space="preserve">Cerrado ○  </w:t>
      </w:r>
      <w:r>
        <w:t>La deuda existe igual, dentro del producto de otro y con visibilidad limitada en extremo. Incluye brechas tecnológicas que ninguna herramienta de análisis detecta.</w:t>
      </w:r>
      <w:r>
        <w:rPr>
          <w:sz w:val="18"/>
        </w:rPr>
        <w:t xml:space="preserve"> </w:t>
      </w:r>
      <w:hyperlink w:anchor="fuente_13">
        <w:r>
          <w:rPr>
            <w:color w:val="1F3B63"/>
            <w:sz w:val="18"/>
          </w:rPr>
          <w:t>[13]</w:t>
        </w:r>
      </w:hyperlink>
      <w:hyperlink w:anchor="fuente_11">
        <w:r>
          <w:rPr>
            <w:color w:val="1F3B63"/>
            <w:sz w:val="18"/>
          </w:rPr>
          <w:t>[11]</w:t>
        </w:r>
      </w:hyperlink>
    </w:p>
    <w:p w14:paraId="70EE4F63" w14:textId="77777777" w:rsidR="00FF3B0F" w:rsidRDefault="005306D5">
      <w:pPr>
        <w:spacing w:after="40"/>
        <w:ind w:left="397"/>
        <w:jc w:val="both"/>
      </w:pPr>
      <w:r>
        <w:rPr>
          <w:b/>
        </w:rPr>
        <w:t xml:space="preserve">Parametrizable ○  </w:t>
      </w:r>
      <w:r>
        <w:t>Cada parametrización suma deuda invisible sobre lo que Fowler describe como una plataforma pobre para desarrollar, y la naturaleza gráfica de las herramientas dificulta probarlas.</w:t>
      </w:r>
      <w:r>
        <w:rPr>
          <w:sz w:val="18"/>
        </w:rPr>
        <w:t xml:space="preserve"> </w:t>
      </w:r>
      <w:hyperlink w:anchor="fuente_18">
        <w:r>
          <w:rPr>
            <w:color w:val="1F3B63"/>
            <w:sz w:val="18"/>
          </w:rPr>
          <w:t>[18]</w:t>
        </w:r>
      </w:hyperlink>
      <w:hyperlink w:anchor="fuente_11">
        <w:r>
          <w:rPr>
            <w:color w:val="1F3B63"/>
            <w:sz w:val="18"/>
          </w:rPr>
          <w:t>[11]</w:t>
        </w:r>
      </w:hyperlink>
      <w:hyperlink w:anchor="fuente_6">
        <w:r>
          <w:rPr>
            <w:color w:val="1F3B63"/>
            <w:sz w:val="18"/>
          </w:rPr>
          <w:t>[6]</w:t>
        </w:r>
      </w:hyperlink>
    </w:p>
    <w:p w14:paraId="01688B92" w14:textId="77777777" w:rsidR="00FF3B0F" w:rsidRDefault="005306D5">
      <w:pPr>
        <w:pStyle w:val="Ttulo2"/>
      </w:pPr>
      <w:bookmarkStart w:id="7" w:name="_Toc239258720"/>
      <w:r>
        <w:t>4.3 Tiempos y riesgos</w:t>
      </w:r>
      <w:bookmarkEnd w:id="7"/>
    </w:p>
    <w:p w14:paraId="22BF043B" w14:textId="77777777" w:rsidR="00FF3B0F" w:rsidRDefault="005306D5">
      <w:pPr>
        <w:pStyle w:val="Ttulo3"/>
      </w:pPr>
      <w:r>
        <w:t>4.3.1 Rapidez para entrar en operación</w:t>
      </w:r>
    </w:p>
    <w:p w14:paraId="15121B03" w14:textId="77777777" w:rsidR="00FF3B0F" w:rsidRDefault="005306D5">
      <w:pPr>
        <w:spacing w:after="80"/>
        <w:jc w:val="both"/>
      </w:pPr>
      <w:r>
        <w:rPr>
          <w:i/>
        </w:rPr>
        <w:t>Cuánto tarda la organización en tener el sistema funcionando desde que decide avanzar.</w:t>
      </w:r>
    </w:p>
    <w:p w14:paraId="72A2FD51" w14:textId="77777777" w:rsidR="00FF3B0F" w:rsidRDefault="005306D5">
      <w:pPr>
        <w:spacing w:after="40"/>
        <w:ind w:left="397"/>
        <w:jc w:val="both"/>
      </w:pPr>
      <w:r>
        <w:rPr>
          <w:b/>
        </w:rPr>
        <w:t xml:space="preserve">Propio ○  </w:t>
      </w:r>
      <w:r>
        <w:t>Hay que construir antes de usar, y el desvío de plazo es grande: Standish mide 222% del tiempo estimado. La auditoría sobre proyectos públicos apunta a que se subestiman el tiempo, el costo y el riesgo.</w:t>
      </w:r>
      <w:r>
        <w:rPr>
          <w:sz w:val="18"/>
        </w:rPr>
        <w:t xml:space="preserve"> </w:t>
      </w:r>
      <w:hyperlink w:anchor="fuente_4">
        <w:r>
          <w:rPr>
            <w:color w:val="1F3B63"/>
            <w:sz w:val="18"/>
          </w:rPr>
          <w:t>[4]</w:t>
        </w:r>
      </w:hyperlink>
      <w:hyperlink w:anchor="fuente_30">
        <w:r>
          <w:rPr>
            <w:color w:val="1F3B63"/>
            <w:sz w:val="18"/>
          </w:rPr>
          <w:t>[30]</w:t>
        </w:r>
      </w:hyperlink>
    </w:p>
    <w:p w14:paraId="71DD0FF6" w14:textId="77777777" w:rsidR="00FF3B0F" w:rsidRDefault="005306D5">
      <w:pPr>
        <w:spacing w:after="40"/>
        <w:ind w:left="397"/>
        <w:jc w:val="both"/>
      </w:pPr>
      <w:r>
        <w:rPr>
          <w:b/>
        </w:rPr>
        <w:t xml:space="preserve">Terceros ○  </w:t>
      </w:r>
      <w:r>
        <w:t>Contratar no evita construir: el plazo se desvía igual y encima hay que esperar a que el proveedor entienda el negocio.</w:t>
      </w:r>
      <w:r>
        <w:rPr>
          <w:sz w:val="18"/>
        </w:rPr>
        <w:t xml:space="preserve"> </w:t>
      </w:r>
      <w:hyperlink w:anchor="fuente_4">
        <w:r>
          <w:rPr>
            <w:color w:val="1F3B63"/>
            <w:sz w:val="18"/>
          </w:rPr>
          <w:t>[4]</w:t>
        </w:r>
      </w:hyperlink>
      <w:hyperlink w:anchor="fuente_20">
        <w:r>
          <w:rPr>
            <w:color w:val="1F3B63"/>
            <w:sz w:val="18"/>
          </w:rPr>
          <w:t>[20]</w:t>
        </w:r>
      </w:hyperlink>
    </w:p>
    <w:p w14:paraId="48BA3871" w14:textId="77777777" w:rsidR="00FF3B0F" w:rsidRDefault="005306D5">
      <w:pPr>
        <w:spacing w:after="40"/>
        <w:ind w:left="397"/>
        <w:jc w:val="both"/>
      </w:pPr>
      <w:r>
        <w:rPr>
          <w:b/>
        </w:rPr>
        <w:t xml:space="preserve">Cerrado ●  </w:t>
      </w:r>
      <w:r>
        <w:t>Reutilizar componentes ya existentes reduce el plazo, el costo y varios riesgos. En el caso que analiza Misra se eligió comprar porque ya había una solución disponible y el plazo era corto.</w:t>
      </w:r>
      <w:r>
        <w:rPr>
          <w:sz w:val="18"/>
        </w:rPr>
        <w:t xml:space="preserve"> </w:t>
      </w:r>
      <w:hyperlink w:anchor="fuente_31">
        <w:r>
          <w:rPr>
            <w:color w:val="1F3B63"/>
            <w:sz w:val="18"/>
          </w:rPr>
          <w:t>[31]</w:t>
        </w:r>
      </w:hyperlink>
      <w:hyperlink w:anchor="fuente_15">
        <w:r>
          <w:rPr>
            <w:color w:val="1F3B63"/>
            <w:sz w:val="18"/>
          </w:rPr>
          <w:t>[15]</w:t>
        </w:r>
      </w:hyperlink>
    </w:p>
    <w:p w14:paraId="2B142C6E" w14:textId="77777777" w:rsidR="00FF3B0F" w:rsidRDefault="005306D5">
      <w:pPr>
        <w:spacing w:after="40"/>
        <w:ind w:left="397"/>
        <w:jc w:val="both"/>
      </w:pPr>
      <w:r>
        <w:rPr>
          <w:b/>
        </w:rPr>
        <w:t xml:space="preserve">Parametrizable ○  </w:t>
      </w:r>
      <w:r>
        <w:t>La parametrización es un proyecto en sí misma y se mide en años cuando el alcance es grande: Lidl abandonó tras siete y LeasePlan tras trece.</w:t>
      </w:r>
      <w:r>
        <w:rPr>
          <w:sz w:val="18"/>
        </w:rPr>
        <w:t xml:space="preserve"> </w:t>
      </w:r>
      <w:hyperlink w:anchor="fuente_7">
        <w:r>
          <w:rPr>
            <w:color w:val="1F3B63"/>
            <w:sz w:val="18"/>
          </w:rPr>
          <w:t>[7]</w:t>
        </w:r>
      </w:hyperlink>
    </w:p>
    <w:p w14:paraId="3FF94896" w14:textId="77777777" w:rsidR="00FF3B0F" w:rsidRDefault="005306D5">
      <w:pPr>
        <w:pStyle w:val="Ttulo3"/>
      </w:pPr>
      <w:r>
        <w:t>4.3.2 Previsibilidad del plazo, el costo y el alcance entregado</w:t>
      </w:r>
    </w:p>
    <w:p w14:paraId="5962670D" w14:textId="77777777" w:rsidR="00FF3B0F" w:rsidRDefault="005306D5">
      <w:pPr>
        <w:spacing w:after="80"/>
        <w:jc w:val="both"/>
      </w:pPr>
      <w:r>
        <w:rPr>
          <w:i/>
        </w:rPr>
        <w:t>La probabilidad de que la iniciativa se cancele o se desvíe, y de que entregue lo que se había definido.</w:t>
      </w:r>
    </w:p>
    <w:p w14:paraId="2F183F48" w14:textId="77777777" w:rsidR="00FF3B0F" w:rsidRDefault="005306D5">
      <w:pPr>
        <w:spacing w:after="40"/>
        <w:ind w:left="397"/>
        <w:jc w:val="both"/>
      </w:pPr>
      <w:r>
        <w:rPr>
          <w:b/>
        </w:rPr>
        <w:t xml:space="preserve">Propio ○  </w:t>
      </w:r>
      <w:r>
        <w:t>La base es desfavorable: 16,2% de éxito y 31,1% de cancelados, y una medición independiente sobre 1.471 proyectos da 27% de desvío promedio de costo. Más de un cuarto de los proyectos con problemas se completó con el 25% al 49% de las funciones.</w:t>
      </w:r>
      <w:r>
        <w:rPr>
          <w:sz w:val="18"/>
        </w:rPr>
        <w:t xml:space="preserve"> </w:t>
      </w:r>
      <w:hyperlink w:anchor="fuente_4">
        <w:r>
          <w:rPr>
            <w:color w:val="1F3B63"/>
            <w:sz w:val="18"/>
          </w:rPr>
          <w:t>[4]</w:t>
        </w:r>
      </w:hyperlink>
      <w:hyperlink w:anchor="fuente_32">
        <w:r>
          <w:rPr>
            <w:color w:val="1F3B63"/>
            <w:sz w:val="18"/>
          </w:rPr>
          <w:t>[32]</w:t>
        </w:r>
      </w:hyperlink>
      <w:hyperlink w:anchor="fuente_5">
        <w:r>
          <w:rPr>
            <w:color w:val="1F3B63"/>
            <w:sz w:val="18"/>
          </w:rPr>
          <w:t>[5]</w:t>
        </w:r>
      </w:hyperlink>
      <w:hyperlink w:anchor="fuente_33">
        <w:r>
          <w:rPr>
            <w:color w:val="1F3B63"/>
            <w:sz w:val="18"/>
          </w:rPr>
          <w:t>[33]</w:t>
        </w:r>
      </w:hyperlink>
    </w:p>
    <w:p w14:paraId="504073AA" w14:textId="77777777" w:rsidR="00FF3B0F" w:rsidRDefault="005306D5">
      <w:pPr>
        <w:spacing w:after="40"/>
        <w:ind w:left="397"/>
        <w:jc w:val="both"/>
      </w:pPr>
      <w:r>
        <w:rPr>
          <w:b/>
        </w:rPr>
        <w:t xml:space="preserve">Terceros ○  </w:t>
      </w:r>
      <w:r>
        <w:t>Tercerizar no cambia la estadística ni el recorte de funciones, y se agrava porque un proveedor con conocimiento parcial del negocio puede comprometer requerimientos que después no logra cumplir.</w:t>
      </w:r>
      <w:r>
        <w:rPr>
          <w:sz w:val="18"/>
        </w:rPr>
        <w:t xml:space="preserve"> </w:t>
      </w:r>
      <w:hyperlink w:anchor="fuente_4">
        <w:r>
          <w:rPr>
            <w:color w:val="1F3B63"/>
            <w:sz w:val="18"/>
          </w:rPr>
          <w:t>[4]</w:t>
        </w:r>
      </w:hyperlink>
      <w:hyperlink w:anchor="fuente_20">
        <w:r>
          <w:rPr>
            <w:color w:val="1F3B63"/>
            <w:sz w:val="18"/>
          </w:rPr>
          <w:t>[20]</w:t>
        </w:r>
      </w:hyperlink>
    </w:p>
    <w:p w14:paraId="53A217AC" w14:textId="77777777" w:rsidR="00FF3B0F" w:rsidRDefault="005306D5">
      <w:pPr>
        <w:spacing w:after="40"/>
        <w:ind w:left="397"/>
        <w:jc w:val="both"/>
      </w:pPr>
      <w:r>
        <w:rPr>
          <w:b/>
        </w:rPr>
        <w:t xml:space="preserve">Cerrado ●  </w:t>
      </w:r>
      <w:r>
        <w:t>El producto ya existe y un análisis de brecha verifica qué hace antes de adoptarlo. La ventaja es sobre el riesgo de construir, no sobre el de implementar: cuatro de cinco organismos se demoraron.</w:t>
      </w:r>
      <w:r>
        <w:rPr>
          <w:sz w:val="18"/>
        </w:rPr>
        <w:t xml:space="preserve"> </w:t>
      </w:r>
      <w:hyperlink w:anchor="fuente_3">
        <w:r>
          <w:rPr>
            <w:color w:val="1F3B63"/>
            <w:sz w:val="18"/>
          </w:rPr>
          <w:t>[3]</w:t>
        </w:r>
      </w:hyperlink>
      <w:hyperlink w:anchor="fuente_22">
        <w:r>
          <w:rPr>
            <w:color w:val="1F3B63"/>
            <w:sz w:val="18"/>
          </w:rPr>
          <w:t>[22]</w:t>
        </w:r>
      </w:hyperlink>
    </w:p>
    <w:p w14:paraId="0C73164D" w14:textId="77777777" w:rsidR="00FF3B0F" w:rsidRDefault="005306D5">
      <w:pPr>
        <w:spacing w:after="40"/>
        <w:ind w:left="397"/>
        <w:jc w:val="both"/>
      </w:pPr>
      <w:r>
        <w:rPr>
          <w:b/>
        </w:rPr>
        <w:t xml:space="preserve">Parametrizable ○  </w:t>
      </w:r>
      <w:r>
        <w:t>El riesgo se traslada a la implementación: más de un cuarto de las organizaciones excede el presupuesto. Lo que la configuración no cubre se personaliza, y eso se arrastra en cada versión.</w:t>
      </w:r>
      <w:r>
        <w:rPr>
          <w:sz w:val="18"/>
        </w:rPr>
        <w:t xml:space="preserve"> </w:t>
      </w:r>
      <w:hyperlink w:anchor="fuente_34">
        <w:r>
          <w:rPr>
            <w:color w:val="1F3B63"/>
            <w:sz w:val="18"/>
          </w:rPr>
          <w:t>[34]</w:t>
        </w:r>
      </w:hyperlink>
      <w:hyperlink w:anchor="fuente_7">
        <w:r>
          <w:rPr>
            <w:color w:val="1F3B63"/>
            <w:sz w:val="18"/>
          </w:rPr>
          <w:t>[7]</w:t>
        </w:r>
      </w:hyperlink>
      <w:hyperlink w:anchor="fuente_35">
        <w:r>
          <w:rPr>
            <w:color w:val="1F3B63"/>
            <w:sz w:val="18"/>
          </w:rPr>
          <w:t>[35]</w:t>
        </w:r>
      </w:hyperlink>
      <w:hyperlink w:anchor="fuente_6">
        <w:r>
          <w:rPr>
            <w:color w:val="1F3B63"/>
            <w:sz w:val="18"/>
          </w:rPr>
          <w:t>[6]</w:t>
        </w:r>
      </w:hyperlink>
      <w:hyperlink w:anchor="fuente_18">
        <w:r>
          <w:rPr>
            <w:color w:val="1F3B63"/>
            <w:sz w:val="18"/>
          </w:rPr>
          <w:t>[18]</w:t>
        </w:r>
      </w:hyperlink>
    </w:p>
    <w:p w14:paraId="362B4245" w14:textId="77777777" w:rsidR="00FF3B0F" w:rsidRDefault="005306D5">
      <w:pPr>
        <w:pStyle w:val="Ttulo3"/>
      </w:pPr>
      <w:r>
        <w:t>4.3.3 Conocimiento del producto disponible antes de comprometerse</w:t>
      </w:r>
    </w:p>
    <w:p w14:paraId="349A10AE" w14:textId="77777777" w:rsidR="00FF3B0F" w:rsidRDefault="005306D5">
      <w:pPr>
        <w:spacing w:after="80"/>
        <w:jc w:val="both"/>
      </w:pPr>
      <w:r>
        <w:rPr>
          <w:i/>
        </w:rPr>
        <w:t>Si se puede ver funcionando lo que se va a adoptar, y con uso previo de otros.</w:t>
      </w:r>
    </w:p>
    <w:p w14:paraId="157EC538" w14:textId="77777777" w:rsidR="00FF3B0F" w:rsidRDefault="005306D5">
      <w:pPr>
        <w:spacing w:after="40"/>
        <w:ind w:left="397"/>
        <w:jc w:val="both"/>
      </w:pPr>
      <w:r>
        <w:rPr>
          <w:b/>
        </w:rPr>
        <w:t xml:space="preserve">Propio ○  </w:t>
      </w:r>
      <w:r>
        <w:t>No hay nada que examinar hasta que exista, y el sistema se estrena sin base instalada. De un producto se conocen de antemano el precio, las funciones, el manual y la licencia.</w:t>
      </w:r>
      <w:r>
        <w:rPr>
          <w:i/>
        </w:rPr>
        <w:t xml:space="preserve"> [por contraste]</w:t>
      </w:r>
      <w:r>
        <w:rPr>
          <w:sz w:val="18"/>
        </w:rPr>
        <w:t xml:space="preserve"> </w:t>
      </w:r>
      <w:hyperlink w:anchor="fuente_13">
        <w:r>
          <w:rPr>
            <w:color w:val="1F3B63"/>
            <w:sz w:val="18"/>
          </w:rPr>
          <w:t>[13]</w:t>
        </w:r>
      </w:hyperlink>
      <w:hyperlink w:anchor="fuente_3">
        <w:r>
          <w:rPr>
            <w:color w:val="1F3B63"/>
            <w:sz w:val="18"/>
          </w:rPr>
          <w:t>[3]</w:t>
        </w:r>
      </w:hyperlink>
    </w:p>
    <w:p w14:paraId="3B60BF4C" w14:textId="77777777" w:rsidR="00FF3B0F" w:rsidRDefault="005306D5">
      <w:pPr>
        <w:spacing w:after="40"/>
        <w:ind w:left="397"/>
        <w:jc w:val="both"/>
      </w:pPr>
      <w:r>
        <w:rPr>
          <w:b/>
        </w:rPr>
        <w:lastRenderedPageBreak/>
        <w:t xml:space="preserve">Terceros ○  </w:t>
      </w:r>
      <w:r>
        <w:t>El sistema tampoco existe todavía ni tiene uso previo: lo evaluable es el proveedor, y ni sus antecedentes se conocen por completo. Elegirlo por precio aumenta la probabilidad de fracaso.</w:t>
      </w:r>
      <w:r>
        <w:rPr>
          <w:sz w:val="18"/>
        </w:rPr>
        <w:t xml:space="preserve"> </w:t>
      </w:r>
      <w:hyperlink w:anchor="fuente_26">
        <w:r>
          <w:rPr>
            <w:color w:val="1F3B63"/>
            <w:sz w:val="18"/>
          </w:rPr>
          <w:t>[26]</w:t>
        </w:r>
      </w:hyperlink>
      <w:hyperlink w:anchor="fuente_13">
        <w:r>
          <w:rPr>
            <w:color w:val="1F3B63"/>
            <w:sz w:val="18"/>
          </w:rPr>
          <w:t>[13]</w:t>
        </w:r>
      </w:hyperlink>
    </w:p>
    <w:p w14:paraId="0997AB2B" w14:textId="77777777" w:rsidR="00FF3B0F" w:rsidRDefault="005306D5">
      <w:pPr>
        <w:spacing w:after="40"/>
        <w:ind w:left="397"/>
        <w:jc w:val="both"/>
      </w:pPr>
      <w:r>
        <w:rPr>
          <w:b/>
        </w:rPr>
        <w:t xml:space="preserve">Cerrado ●  </w:t>
      </w:r>
      <w:r>
        <w:t>El producto existe, llega con uso previo de otras organizaciones y hay técnicas establecidas para evaluarlo: demostraciones, casos, análisis de brecha y prototipos.</w:t>
      </w:r>
      <w:r>
        <w:rPr>
          <w:sz w:val="18"/>
        </w:rPr>
        <w:t xml:space="preserve"> </w:t>
      </w:r>
      <w:hyperlink w:anchor="fuente_3">
        <w:r>
          <w:rPr>
            <w:color w:val="1F3B63"/>
            <w:sz w:val="18"/>
          </w:rPr>
          <w:t>[3]</w:t>
        </w:r>
      </w:hyperlink>
      <w:hyperlink w:anchor="fuente_13">
        <w:r>
          <w:rPr>
            <w:color w:val="1F3B63"/>
            <w:sz w:val="18"/>
          </w:rPr>
          <w:t>[13]</w:t>
        </w:r>
      </w:hyperlink>
    </w:p>
    <w:p w14:paraId="1A8E3AF5" w14:textId="77777777" w:rsidR="00FF3B0F" w:rsidRDefault="005306D5">
      <w:pPr>
        <w:spacing w:after="40"/>
        <w:ind w:left="397"/>
        <w:jc w:val="both"/>
      </w:pPr>
      <w:r>
        <w:rPr>
          <w:b/>
        </w:rPr>
        <w:t xml:space="preserve">Parametrizable ●  </w:t>
      </w:r>
      <w:r>
        <w:t>El núcleo tiene historia de uso en otros clientes, y el material recomienda probar la configuración en un piloto antes de comprometer a toda la organización.</w:t>
      </w:r>
      <w:r>
        <w:rPr>
          <w:sz w:val="18"/>
        </w:rPr>
        <w:t xml:space="preserve"> </w:t>
      </w:r>
      <w:hyperlink w:anchor="fuente_13">
        <w:r>
          <w:rPr>
            <w:color w:val="1F3B63"/>
            <w:sz w:val="18"/>
          </w:rPr>
          <w:t>[13]</w:t>
        </w:r>
      </w:hyperlink>
      <w:hyperlink w:anchor="fuente_3">
        <w:r>
          <w:rPr>
            <w:color w:val="1F3B63"/>
            <w:sz w:val="18"/>
          </w:rPr>
          <w:t>[3]</w:t>
        </w:r>
      </w:hyperlink>
    </w:p>
    <w:p w14:paraId="5D789488" w14:textId="77777777" w:rsidR="00FF3B0F" w:rsidRDefault="005306D5">
      <w:pPr>
        <w:pStyle w:val="Ttulo2"/>
      </w:pPr>
      <w:bookmarkStart w:id="8" w:name="_Toc239258721"/>
      <w:r>
        <w:t>4.4 Soporte y mantenimiento</w:t>
      </w:r>
      <w:bookmarkEnd w:id="8"/>
    </w:p>
    <w:p w14:paraId="75E702D7" w14:textId="77777777" w:rsidR="00FF3B0F" w:rsidRDefault="005306D5">
      <w:pPr>
        <w:pStyle w:val="Ttulo3"/>
      </w:pPr>
      <w:r>
        <w:t>4.4.1 Correcciones de seguridad y puesta al día del sistema</w:t>
      </w:r>
    </w:p>
    <w:p w14:paraId="3A64DF5A" w14:textId="77777777" w:rsidR="00FF3B0F" w:rsidRDefault="005306D5">
      <w:pPr>
        <w:spacing w:after="80"/>
        <w:jc w:val="both"/>
      </w:pPr>
      <w:r>
        <w:rPr>
          <w:i/>
        </w:rPr>
        <w:t>De quién es el trabajo de corregir vulnerabilidades y de mantener el sistema al día con la tecnología y la normativa.</w:t>
      </w:r>
    </w:p>
    <w:p w14:paraId="4AD9533D" w14:textId="77777777" w:rsidR="00FF3B0F" w:rsidRDefault="005306D5">
      <w:pPr>
        <w:spacing w:after="40"/>
        <w:ind w:left="397"/>
        <w:jc w:val="both"/>
      </w:pPr>
      <w:r>
        <w:rPr>
          <w:b/>
        </w:rPr>
        <w:t xml:space="preserve">Propio ○  </w:t>
      </w:r>
      <w:r>
        <w:t>Corregir y mantenerse al día corre por cuenta propia durante todo el ciclo de vida, incluidos los componentes de terceros. Y la tecnología cambia más rápido de lo que una organización alcanza a incorporarla.</w:t>
      </w:r>
      <w:r>
        <w:rPr>
          <w:sz w:val="18"/>
        </w:rPr>
        <w:t xml:space="preserve"> </w:t>
      </w:r>
      <w:hyperlink w:anchor="fuente_36">
        <w:r>
          <w:rPr>
            <w:color w:val="1F3B63"/>
            <w:sz w:val="18"/>
          </w:rPr>
          <w:t>[36]</w:t>
        </w:r>
      </w:hyperlink>
      <w:hyperlink w:anchor="fuente_25">
        <w:r>
          <w:rPr>
            <w:color w:val="1F3B63"/>
            <w:sz w:val="18"/>
          </w:rPr>
          <w:t>[25]</w:t>
        </w:r>
      </w:hyperlink>
    </w:p>
    <w:p w14:paraId="0E5B394F" w14:textId="77777777" w:rsidR="00FF3B0F" w:rsidRDefault="005306D5">
      <w:pPr>
        <w:spacing w:after="40"/>
        <w:ind w:left="397"/>
        <w:jc w:val="both"/>
      </w:pPr>
      <w:r>
        <w:rPr>
          <w:b/>
        </w:rPr>
        <w:t xml:space="preserve">Terceros ○  </w:t>
      </w:r>
      <w:r>
        <w:t>El mantenimiento correctivo sigue siendo responsabilidad de quien encarga y suma un actor más a la cadena de suministro; cada evolución posterior se vuelve a contratar.</w:t>
      </w:r>
      <w:r>
        <w:rPr>
          <w:sz w:val="18"/>
        </w:rPr>
        <w:t xml:space="preserve"> </w:t>
      </w:r>
      <w:hyperlink w:anchor="fuente_36">
        <w:r>
          <w:rPr>
            <w:color w:val="1F3B63"/>
            <w:sz w:val="18"/>
          </w:rPr>
          <w:t>[36]</w:t>
        </w:r>
      </w:hyperlink>
      <w:hyperlink w:anchor="fuente_25">
        <w:r>
          <w:rPr>
            <w:color w:val="1F3B63"/>
            <w:sz w:val="18"/>
          </w:rPr>
          <w:t>[25]</w:t>
        </w:r>
      </w:hyperlink>
    </w:p>
    <w:p w14:paraId="5CB23FA0" w14:textId="77777777" w:rsidR="00FF3B0F" w:rsidRDefault="005306D5">
      <w:pPr>
        <w:spacing w:after="40"/>
        <w:ind w:left="397"/>
        <w:jc w:val="both"/>
      </w:pPr>
      <w:r>
        <w:rPr>
          <w:b/>
        </w:rPr>
        <w:t xml:space="preserve">Cerrado ●  </w:t>
      </w:r>
      <w:r>
        <w:t>Las actualizaciones de seguridad llegan mientras el producto está vigente, y el plazo puede estar comprometido por escrito: Microsoft publica un mínimo de cinco años. La actualización tecnológica y normativa es parte de lo que se compra.</w:t>
      </w:r>
      <w:r>
        <w:rPr>
          <w:sz w:val="18"/>
        </w:rPr>
        <w:t xml:space="preserve"> </w:t>
      </w:r>
      <w:hyperlink w:anchor="fuente_10">
        <w:r>
          <w:rPr>
            <w:color w:val="1F3B63"/>
            <w:sz w:val="18"/>
          </w:rPr>
          <w:t>[10]</w:t>
        </w:r>
      </w:hyperlink>
      <w:hyperlink w:anchor="fuente_37">
        <w:r>
          <w:rPr>
            <w:color w:val="1F3B63"/>
            <w:sz w:val="18"/>
          </w:rPr>
          <w:t>[37]</w:t>
        </w:r>
      </w:hyperlink>
      <w:hyperlink w:anchor="fuente_38">
        <w:r>
          <w:rPr>
            <w:color w:val="1F3B63"/>
            <w:sz w:val="18"/>
          </w:rPr>
          <w:t>[38]</w:t>
        </w:r>
      </w:hyperlink>
      <w:hyperlink w:anchor="fuente_39">
        <w:r>
          <w:rPr>
            <w:color w:val="1F3B63"/>
            <w:sz w:val="18"/>
          </w:rPr>
          <w:t>[39]</w:t>
        </w:r>
      </w:hyperlink>
    </w:p>
    <w:p w14:paraId="3D3FB23E" w14:textId="77777777" w:rsidR="00FF3B0F" w:rsidRDefault="005306D5">
      <w:pPr>
        <w:spacing w:after="40"/>
        <w:ind w:left="397"/>
        <w:jc w:val="both"/>
      </w:pPr>
      <w:r>
        <w:rPr>
          <w:b/>
        </w:rPr>
        <w:t xml:space="preserve">Parametrizable ●  </w:t>
      </w:r>
      <w:r>
        <w:t>Las correcciones y la actualización del núcleo también las provee el fabricante, con el mismo tipo de compromiso publicado.</w:t>
      </w:r>
      <w:r>
        <w:rPr>
          <w:sz w:val="18"/>
        </w:rPr>
        <w:t xml:space="preserve"> </w:t>
      </w:r>
      <w:hyperlink w:anchor="fuente_10">
        <w:r>
          <w:rPr>
            <w:color w:val="1F3B63"/>
            <w:sz w:val="18"/>
          </w:rPr>
          <w:t>[10]</w:t>
        </w:r>
      </w:hyperlink>
    </w:p>
    <w:p w14:paraId="4FA5DB8D" w14:textId="77777777" w:rsidR="00FF3B0F" w:rsidRDefault="005306D5">
      <w:pPr>
        <w:pStyle w:val="Ttulo3"/>
      </w:pPr>
      <w:r>
        <w:t>4.4.2 Compromiso de disponibilidad declarado por escrito</w:t>
      </w:r>
    </w:p>
    <w:p w14:paraId="28E480B3" w14:textId="77777777" w:rsidR="00FF3B0F" w:rsidRDefault="005306D5">
      <w:pPr>
        <w:spacing w:after="80"/>
        <w:jc w:val="both"/>
      </w:pPr>
      <w:r>
        <w:rPr>
          <w:i/>
        </w:rPr>
        <w:t>Si existe un compromiso de disponibilidad puesto por escrito que la organización pueda invocar.</w:t>
      </w:r>
    </w:p>
    <w:p w14:paraId="612A09A6" w14:textId="77777777" w:rsidR="00FF3B0F" w:rsidRDefault="005306D5">
      <w:pPr>
        <w:spacing w:after="40"/>
        <w:ind w:left="397"/>
        <w:jc w:val="both"/>
      </w:pPr>
      <w:r>
        <w:rPr>
          <w:b/>
        </w:rPr>
        <w:t xml:space="preserve">Propio ○  </w:t>
      </w:r>
      <w:r>
        <w:t>No hay compromiso que invocar: sostener la disponibilidad queda del lado de la organización, junto con la instalación y la configuración del sistema.</w:t>
      </w:r>
      <w:r>
        <w:rPr>
          <w:sz w:val="18"/>
        </w:rPr>
        <w:t xml:space="preserve"> </w:t>
      </w:r>
      <w:hyperlink w:anchor="fuente_40">
        <w:r>
          <w:rPr>
            <w:color w:val="1F3B63"/>
            <w:sz w:val="18"/>
          </w:rPr>
          <w:t>[40]</w:t>
        </w:r>
      </w:hyperlink>
      <w:hyperlink w:anchor="fuente_23">
        <w:r>
          <w:rPr>
            <w:color w:val="1F3B63"/>
            <w:sz w:val="18"/>
          </w:rPr>
          <w:t>[23]</w:t>
        </w:r>
      </w:hyperlink>
    </w:p>
    <w:p w14:paraId="24C10F1B" w14:textId="77777777" w:rsidR="00FF3B0F" w:rsidRDefault="005306D5">
      <w:pPr>
        <w:spacing w:after="40"/>
        <w:ind w:left="397"/>
        <w:jc w:val="both"/>
      </w:pPr>
      <w:r>
        <w:rPr>
          <w:b/>
        </w:rPr>
        <w:t xml:space="preserve">Terceros ○  </w:t>
      </w:r>
      <w:r>
        <w:t>El contrato de construcción no trae un compromiso de disponibilidad: hay que pactarlo aparte, y lo que se entrega es el sistema, no su operación.</w:t>
      </w:r>
      <w:r>
        <w:rPr>
          <w:i/>
        </w:rPr>
        <w:t xml:space="preserve"> [por contraste]</w:t>
      </w:r>
      <w:r>
        <w:rPr>
          <w:sz w:val="18"/>
        </w:rPr>
        <w:t xml:space="preserve"> </w:t>
      </w:r>
      <w:hyperlink w:anchor="fuente_40">
        <w:r>
          <w:rPr>
            <w:color w:val="1F3B63"/>
            <w:sz w:val="18"/>
          </w:rPr>
          <w:t>[40]</w:t>
        </w:r>
      </w:hyperlink>
      <w:hyperlink w:anchor="fuente_23">
        <w:r>
          <w:rPr>
            <w:color w:val="1F3B63"/>
            <w:sz w:val="18"/>
          </w:rPr>
          <w:t>[23]</w:t>
        </w:r>
      </w:hyperlink>
    </w:p>
    <w:p w14:paraId="1D6D4492" w14:textId="77777777" w:rsidR="00FF3B0F" w:rsidRDefault="005306D5">
      <w:pPr>
        <w:spacing w:after="40"/>
        <w:ind w:left="397"/>
        <w:jc w:val="both"/>
      </w:pPr>
      <w:r>
        <w:rPr>
          <w:b/>
        </w:rPr>
        <w:t xml:space="preserve">Cerrado ●  </w:t>
      </w:r>
      <w:r>
        <w:t>Hay compromisos de disponibilidad publicados y exigibles: para sus servicios administrados, Microsoft publica un objetivo del orden del 99,9%.</w:t>
      </w:r>
      <w:r>
        <w:rPr>
          <w:sz w:val="18"/>
        </w:rPr>
        <w:t xml:space="preserve"> </w:t>
      </w:r>
      <w:hyperlink w:anchor="fuente_41">
        <w:r>
          <w:rPr>
            <w:color w:val="1F3B63"/>
            <w:sz w:val="18"/>
          </w:rPr>
          <w:t>[41]</w:t>
        </w:r>
      </w:hyperlink>
    </w:p>
    <w:p w14:paraId="03EC4CA4" w14:textId="77777777" w:rsidR="00FF3B0F" w:rsidRDefault="005306D5">
      <w:pPr>
        <w:spacing w:after="40"/>
        <w:ind w:left="397"/>
        <w:jc w:val="both"/>
      </w:pPr>
      <w:r>
        <w:rPr>
          <w:b/>
        </w:rPr>
        <w:t xml:space="preserve">Parametrizable ●  </w:t>
      </w:r>
      <w:r>
        <w:t>Estos productos también llegan con un compromiso publicado, aunque no en todos sus niveles: para algunos el fabricante no ofrece ninguno.</w:t>
      </w:r>
      <w:r>
        <w:rPr>
          <w:sz w:val="18"/>
        </w:rPr>
        <w:t xml:space="preserve"> </w:t>
      </w:r>
      <w:hyperlink w:anchor="fuente_41">
        <w:r>
          <w:rPr>
            <w:color w:val="1F3B63"/>
            <w:sz w:val="18"/>
          </w:rPr>
          <w:t>[41]</w:t>
        </w:r>
      </w:hyperlink>
    </w:p>
    <w:p w14:paraId="1B44DA84" w14:textId="77777777" w:rsidR="00FF3B0F" w:rsidRDefault="005306D5">
      <w:pPr>
        <w:pStyle w:val="Ttulo3"/>
      </w:pPr>
      <w:r>
        <w:t>4.4.3 Disponibilidad de documentación, capacitación y conocimiento público del sistema</w:t>
      </w:r>
    </w:p>
    <w:p w14:paraId="3B7FB080" w14:textId="77777777" w:rsidR="00FF3B0F" w:rsidRDefault="005306D5">
      <w:pPr>
        <w:spacing w:after="80"/>
        <w:jc w:val="both"/>
      </w:pPr>
      <w:r>
        <w:rPr>
          <w:i/>
        </w:rPr>
        <w:t>Si quien va a usar y sostener el software encuentra manuales, capacitación y respuestas ya escritas.</w:t>
      </w:r>
    </w:p>
    <w:p w14:paraId="2CA30155" w14:textId="77777777" w:rsidR="00FF3B0F" w:rsidRDefault="005306D5">
      <w:pPr>
        <w:spacing w:after="40"/>
        <w:ind w:left="397"/>
        <w:jc w:val="both"/>
      </w:pPr>
      <w:r>
        <w:rPr>
          <w:b/>
        </w:rPr>
        <w:t xml:space="preserve">Propio ○  </w:t>
      </w:r>
      <w:r>
        <w:t>El material hay que escribirlo: la mesa de ayuda y el manual son críticos después de la instalación, y sobre un sistema a medida no hay comunidad que los complemente.</w:t>
      </w:r>
      <w:r>
        <w:rPr>
          <w:i/>
        </w:rPr>
        <w:t xml:space="preserve"> [por contraste]</w:t>
      </w:r>
      <w:r>
        <w:rPr>
          <w:sz w:val="18"/>
        </w:rPr>
        <w:t xml:space="preserve"> </w:t>
      </w:r>
      <w:hyperlink w:anchor="fuente_23">
        <w:r>
          <w:rPr>
            <w:color w:val="1F3B63"/>
            <w:sz w:val="18"/>
          </w:rPr>
          <w:t>[23]</w:t>
        </w:r>
      </w:hyperlink>
      <w:hyperlink w:anchor="fuente_31">
        <w:r>
          <w:rPr>
            <w:color w:val="1F3B63"/>
            <w:sz w:val="18"/>
          </w:rPr>
          <w:t>[31]</w:t>
        </w:r>
      </w:hyperlink>
    </w:p>
    <w:p w14:paraId="0476E3C3" w14:textId="77777777" w:rsidR="00FF3B0F" w:rsidRDefault="005306D5">
      <w:pPr>
        <w:spacing w:after="40"/>
        <w:ind w:left="397"/>
        <w:jc w:val="both"/>
      </w:pPr>
      <w:r>
        <w:rPr>
          <w:b/>
        </w:rPr>
        <w:t xml:space="preserve">Terceros ○  </w:t>
      </w:r>
      <w:r>
        <w:t>La documentación se puede pactar como entregable, pero hay que producirla para un sistema que solo usa esta organización: tampoco acá hay conocimiento público que la complemente.</w:t>
      </w:r>
      <w:r>
        <w:rPr>
          <w:i/>
        </w:rPr>
        <w:t xml:space="preserve"> [por contraste]</w:t>
      </w:r>
      <w:r>
        <w:rPr>
          <w:sz w:val="18"/>
        </w:rPr>
        <w:t xml:space="preserve"> </w:t>
      </w:r>
      <w:hyperlink w:anchor="fuente_23">
        <w:r>
          <w:rPr>
            <w:color w:val="1F3B63"/>
            <w:sz w:val="18"/>
          </w:rPr>
          <w:t>[23]</w:t>
        </w:r>
      </w:hyperlink>
      <w:hyperlink w:anchor="fuente_31">
        <w:r>
          <w:rPr>
            <w:color w:val="1F3B63"/>
            <w:sz w:val="18"/>
          </w:rPr>
          <w:t>[31]</w:t>
        </w:r>
      </w:hyperlink>
    </w:p>
    <w:p w14:paraId="600C670F" w14:textId="77777777" w:rsidR="00FF3B0F" w:rsidRDefault="005306D5">
      <w:pPr>
        <w:spacing w:after="40"/>
        <w:ind w:left="397"/>
        <w:jc w:val="both"/>
      </w:pPr>
      <w:r>
        <w:rPr>
          <w:b/>
        </w:rPr>
        <w:lastRenderedPageBreak/>
        <w:t xml:space="preserve">Cerrado ●  </w:t>
      </w:r>
      <w:r>
        <w:t>El manual del usuario viene con el producto, y su documentación y su comunidad son de los factores en que se apoya quien elige un componente ajeno.</w:t>
      </w:r>
      <w:r>
        <w:rPr>
          <w:sz w:val="18"/>
        </w:rPr>
        <w:t xml:space="preserve"> </w:t>
      </w:r>
      <w:hyperlink w:anchor="fuente_13">
        <w:r>
          <w:rPr>
            <w:color w:val="1F3B63"/>
            <w:sz w:val="18"/>
          </w:rPr>
          <w:t>[13]</w:t>
        </w:r>
      </w:hyperlink>
      <w:hyperlink w:anchor="fuente_31">
        <w:r>
          <w:rPr>
            <w:color w:val="1F3B63"/>
            <w:sz w:val="18"/>
          </w:rPr>
          <w:t>[31]</w:t>
        </w:r>
      </w:hyperlink>
    </w:p>
    <w:p w14:paraId="56DAA5A1" w14:textId="77777777" w:rsidR="00FF3B0F" w:rsidRDefault="005306D5">
      <w:pPr>
        <w:spacing w:after="40"/>
        <w:ind w:left="397"/>
        <w:jc w:val="both"/>
      </w:pPr>
      <w:r>
        <w:rPr>
          <w:b/>
        </w:rPr>
        <w:t xml:space="preserve">Parametrizable ●  </w:t>
      </w:r>
      <w:r>
        <w:t>Hay un cuerpo público de preguntas y respuestas sobre el producto. Alamin lo mide sobre plataformas de bajo código: la mediana hasta una solución es de 4,2 horas para el diseño de formularios y 7,6 para las operaciones de base de datos.</w:t>
      </w:r>
      <w:r>
        <w:rPr>
          <w:sz w:val="18"/>
        </w:rPr>
        <w:t xml:space="preserve"> </w:t>
      </w:r>
      <w:hyperlink w:anchor="fuente_18">
        <w:r>
          <w:rPr>
            <w:color w:val="1F3B63"/>
            <w:sz w:val="18"/>
          </w:rPr>
          <w:t>[18]</w:t>
        </w:r>
      </w:hyperlink>
      <w:hyperlink w:anchor="fuente_31">
        <w:r>
          <w:rPr>
            <w:color w:val="1F3B63"/>
            <w:sz w:val="18"/>
          </w:rPr>
          <w:t>[31]</w:t>
        </w:r>
      </w:hyperlink>
    </w:p>
    <w:p w14:paraId="1D110302" w14:textId="77777777" w:rsidR="00FF3B0F" w:rsidRDefault="005306D5">
      <w:pPr>
        <w:pStyle w:val="Ttulo2"/>
      </w:pPr>
      <w:bookmarkStart w:id="9" w:name="_Toc239258722"/>
      <w:r>
        <w:t>4.5 Obsolescencia</w:t>
      </w:r>
      <w:bookmarkEnd w:id="9"/>
    </w:p>
    <w:p w14:paraId="30AD1E52" w14:textId="77777777" w:rsidR="00FF3B0F" w:rsidRDefault="005306D5">
      <w:pPr>
        <w:pStyle w:val="Ttulo3"/>
      </w:pPr>
      <w:r>
        <w:t>4.5.1 Independencia del ciclo de vida comercial de un fabricante</w:t>
      </w:r>
    </w:p>
    <w:p w14:paraId="7C710B46" w14:textId="77777777" w:rsidR="00FF3B0F" w:rsidRDefault="005306D5">
      <w:pPr>
        <w:spacing w:after="80"/>
        <w:jc w:val="both"/>
      </w:pPr>
      <w:r>
        <w:rPr>
          <w:i/>
        </w:rPr>
        <w:t>Si la vigencia del sistema no depende de que un tercero decida seguir sosteniendo su producto.</w:t>
      </w:r>
    </w:p>
    <w:p w14:paraId="17CA7451" w14:textId="77777777" w:rsidR="00FF3B0F" w:rsidRDefault="005306D5">
      <w:pPr>
        <w:spacing w:after="40"/>
        <w:ind w:left="397"/>
        <w:jc w:val="both"/>
      </w:pPr>
      <w:r>
        <w:rPr>
          <w:b/>
        </w:rPr>
        <w:t xml:space="preserve">Propio ●  </w:t>
      </w:r>
      <w:r>
        <w:t>El sistema y su código están bajo control propio: las mejoras se desarrollan cuando hacen falta y no dependen de que un tercero siga sosteniendo nada.</w:t>
      </w:r>
      <w:r>
        <w:rPr>
          <w:sz w:val="18"/>
        </w:rPr>
        <w:t xml:space="preserve"> </w:t>
      </w:r>
      <w:hyperlink w:anchor="fuente_42">
        <w:r>
          <w:rPr>
            <w:color w:val="1F3B63"/>
            <w:sz w:val="18"/>
          </w:rPr>
          <w:t>[42]</w:t>
        </w:r>
      </w:hyperlink>
    </w:p>
    <w:p w14:paraId="4CDD12E1" w14:textId="77777777" w:rsidR="00FF3B0F" w:rsidRDefault="005306D5">
      <w:pPr>
        <w:spacing w:after="40"/>
        <w:ind w:left="397"/>
        <w:jc w:val="both"/>
      </w:pPr>
      <w:r>
        <w:rPr>
          <w:b/>
        </w:rPr>
        <w:t xml:space="preserve">Terceros ●  </w:t>
      </w:r>
      <w:r>
        <w:t>El sistema es propio aunque lo haya construido otro: su vigencia no depende del ciclo comercial de ningún producto. Si la mejora se apoya en el proveedor, la dependencia se traslada.</w:t>
      </w:r>
      <w:r>
        <w:rPr>
          <w:i/>
        </w:rPr>
        <w:t xml:space="preserve"> [por contraste]</w:t>
      </w:r>
      <w:r>
        <w:rPr>
          <w:sz w:val="18"/>
        </w:rPr>
        <w:t xml:space="preserve"> </w:t>
      </w:r>
      <w:hyperlink w:anchor="fuente_43">
        <w:r>
          <w:rPr>
            <w:color w:val="1F3B63"/>
            <w:sz w:val="18"/>
          </w:rPr>
          <w:t>[43]</w:t>
        </w:r>
      </w:hyperlink>
      <w:hyperlink w:anchor="fuente_10">
        <w:r>
          <w:rPr>
            <w:color w:val="1F3B63"/>
            <w:sz w:val="18"/>
          </w:rPr>
          <w:t>[10]</w:t>
        </w:r>
      </w:hyperlink>
    </w:p>
    <w:p w14:paraId="582A1834" w14:textId="77777777" w:rsidR="00FF3B0F" w:rsidRDefault="005306D5">
      <w:pPr>
        <w:spacing w:after="40"/>
        <w:ind w:left="397"/>
        <w:jc w:val="both"/>
      </w:pPr>
      <w:r>
        <w:rPr>
          <w:b/>
        </w:rPr>
        <w:t xml:space="preserve">Cerrado ○  </w:t>
      </w:r>
      <w:r>
        <w:t>Pasado el fin de soporte, las actualizaciones de seguridad solo llegan por un programa pago, y para productos antiguos puede no haberlas.</w:t>
      </w:r>
      <w:r>
        <w:rPr>
          <w:sz w:val="18"/>
        </w:rPr>
        <w:t xml:space="preserve"> </w:t>
      </w:r>
      <w:hyperlink w:anchor="fuente_10">
        <w:r>
          <w:rPr>
            <w:color w:val="1F3B63"/>
            <w:sz w:val="18"/>
          </w:rPr>
          <w:t>[10]</w:t>
        </w:r>
      </w:hyperlink>
      <w:hyperlink w:anchor="fuente_31">
        <w:r>
          <w:rPr>
            <w:color w:val="1F3B63"/>
            <w:sz w:val="18"/>
          </w:rPr>
          <w:t>[31]</w:t>
        </w:r>
      </w:hyperlink>
    </w:p>
    <w:p w14:paraId="61EF7441" w14:textId="77777777" w:rsidR="00FF3B0F" w:rsidRDefault="005306D5">
      <w:pPr>
        <w:spacing w:after="40"/>
        <w:ind w:left="397"/>
        <w:jc w:val="both"/>
      </w:pPr>
      <w:r>
        <w:rPr>
          <w:b/>
        </w:rPr>
        <w:t xml:space="preserve">Parametrizable ○  </w:t>
      </w:r>
      <w:r>
        <w:t>El fin de soporte lo fija el fabricante. En el caso Phoenix se personalizó un producto de pagos sin planificar la actualización de la plataforma base, que iba a descontinuarse.</w:t>
      </w:r>
      <w:r>
        <w:rPr>
          <w:sz w:val="18"/>
        </w:rPr>
        <w:t xml:space="preserve"> </w:t>
      </w:r>
      <w:hyperlink w:anchor="fuente_44">
        <w:r>
          <w:rPr>
            <w:color w:val="1F3B63"/>
            <w:sz w:val="18"/>
          </w:rPr>
          <w:t>[44]</w:t>
        </w:r>
      </w:hyperlink>
      <w:hyperlink w:anchor="fuente_10">
        <w:r>
          <w:rPr>
            <w:color w:val="1F3B63"/>
            <w:sz w:val="18"/>
          </w:rPr>
          <w:t>[10]</w:t>
        </w:r>
      </w:hyperlink>
      <w:hyperlink w:anchor="fuente_3">
        <w:r>
          <w:rPr>
            <w:color w:val="1F3B63"/>
            <w:sz w:val="18"/>
          </w:rPr>
          <w:t>[3]</w:t>
        </w:r>
      </w:hyperlink>
    </w:p>
    <w:p w14:paraId="3A4BDAFF" w14:textId="77777777" w:rsidR="00FF3B0F" w:rsidRDefault="005306D5">
      <w:pPr>
        <w:pStyle w:val="Ttulo2"/>
      </w:pPr>
      <w:bookmarkStart w:id="10" w:name="_Toc239258723"/>
      <w:r>
        <w:t>4.6 Interfaces e integraciones</w:t>
      </w:r>
      <w:bookmarkEnd w:id="10"/>
    </w:p>
    <w:p w14:paraId="0B1D4C5F" w14:textId="77777777" w:rsidR="00FF3B0F" w:rsidRDefault="005306D5">
      <w:pPr>
        <w:pStyle w:val="Ttulo3"/>
      </w:pPr>
      <w:r>
        <w:t>4.6.1 Interoperabilidad con el ecosistema que ya existe</w:t>
      </w:r>
    </w:p>
    <w:p w14:paraId="7E0782EB" w14:textId="77777777" w:rsidR="00FF3B0F" w:rsidRDefault="005306D5">
      <w:pPr>
        <w:spacing w:after="80"/>
        <w:jc w:val="both"/>
      </w:pPr>
      <w:r>
        <w:rPr>
          <w:i/>
        </w:rPr>
        <w:t>La capacidad de intercambiar información con los demás sistemas de la organización, incluidos los heredados.</w:t>
      </w:r>
    </w:p>
    <w:p w14:paraId="01366A3C" w14:textId="77777777" w:rsidR="00FF3B0F" w:rsidRDefault="005306D5">
      <w:pPr>
        <w:spacing w:after="40"/>
        <w:ind w:left="397"/>
        <w:jc w:val="both"/>
      </w:pPr>
      <w:r>
        <w:rPr>
          <w:b/>
        </w:rPr>
        <w:t xml:space="preserve">Propio ●  </w:t>
      </w:r>
      <w:r>
        <w:t>Las interfaces se diseñan contra el ecosistema real, no contra lo que ofrece el mercado.</w:t>
      </w:r>
      <w:r>
        <w:rPr>
          <w:sz w:val="18"/>
        </w:rPr>
        <w:t xml:space="preserve"> </w:t>
      </w:r>
      <w:hyperlink w:anchor="fuente_3">
        <w:r>
          <w:rPr>
            <w:color w:val="1F3B63"/>
            <w:sz w:val="18"/>
          </w:rPr>
          <w:t>[3]</w:t>
        </w:r>
      </w:hyperlink>
      <w:hyperlink w:anchor="fuente_17">
        <w:r>
          <w:rPr>
            <w:color w:val="1F3B63"/>
            <w:sz w:val="18"/>
          </w:rPr>
          <w:t>[17]</w:t>
        </w:r>
      </w:hyperlink>
    </w:p>
    <w:p w14:paraId="1F9632D3" w14:textId="77777777" w:rsidR="00FF3B0F" w:rsidRDefault="005306D5">
      <w:pPr>
        <w:spacing w:after="40"/>
        <w:ind w:left="397"/>
        <w:jc w:val="both"/>
      </w:pPr>
      <w:r>
        <w:rPr>
          <w:b/>
        </w:rPr>
        <w:t xml:space="preserve">Terceros ●  </w:t>
      </w:r>
      <w:r>
        <w:t>Las integraciones también se construyen a medida del ecosistema del cliente, partiendo de sus requerimientos y con igual grado de libertad.</w:t>
      </w:r>
      <w:r>
        <w:rPr>
          <w:sz w:val="18"/>
        </w:rPr>
        <w:t xml:space="preserve"> </w:t>
      </w:r>
      <w:hyperlink w:anchor="fuente_15">
        <w:r>
          <w:rPr>
            <w:color w:val="1F3B63"/>
            <w:sz w:val="18"/>
          </w:rPr>
          <w:t>[15]</w:t>
        </w:r>
      </w:hyperlink>
      <w:hyperlink w:anchor="fuente_3">
        <w:r>
          <w:rPr>
            <w:color w:val="1F3B63"/>
            <w:sz w:val="18"/>
          </w:rPr>
          <w:t>[3]</w:t>
        </w:r>
      </w:hyperlink>
      <w:hyperlink w:anchor="fuente_17">
        <w:r>
          <w:rPr>
            <w:color w:val="1F3B63"/>
            <w:sz w:val="18"/>
          </w:rPr>
          <w:t>[17]</w:t>
        </w:r>
      </w:hyperlink>
    </w:p>
    <w:p w14:paraId="602896E1" w14:textId="77777777" w:rsidR="00FF3B0F" w:rsidRDefault="005306D5">
      <w:pPr>
        <w:spacing w:after="40"/>
        <w:ind w:left="397"/>
        <w:jc w:val="both"/>
      </w:pPr>
      <w:r>
        <w:rPr>
          <w:b/>
        </w:rPr>
        <w:t xml:space="preserve">Cerrado ○  </w:t>
      </w:r>
      <w:r>
        <w:t>La interoperabilidad llega hasta donde el fabricante la previó. En una adquisición federal exitosa, el factor crítico fue elegir el paquete más compatible y resignar otro de funcionalidad superior.</w:t>
      </w:r>
      <w:r>
        <w:rPr>
          <w:sz w:val="18"/>
        </w:rPr>
        <w:t xml:space="preserve"> </w:t>
      </w:r>
      <w:hyperlink w:anchor="fuente_3">
        <w:r>
          <w:rPr>
            <w:color w:val="1F3B63"/>
            <w:sz w:val="18"/>
          </w:rPr>
          <w:t>[3]</w:t>
        </w:r>
      </w:hyperlink>
      <w:hyperlink w:anchor="fuente_45">
        <w:r>
          <w:rPr>
            <w:color w:val="1F3B63"/>
            <w:sz w:val="18"/>
          </w:rPr>
          <w:t>[45]</w:t>
        </w:r>
      </w:hyperlink>
      <w:hyperlink w:anchor="fuente_23">
        <w:r>
          <w:rPr>
            <w:color w:val="1F3B63"/>
            <w:sz w:val="18"/>
          </w:rPr>
          <w:t>[23]</w:t>
        </w:r>
      </w:hyperlink>
    </w:p>
    <w:p w14:paraId="10310CFF" w14:textId="77777777" w:rsidR="00FF3B0F" w:rsidRDefault="005306D5">
      <w:pPr>
        <w:spacing w:after="40"/>
        <w:ind w:left="397"/>
        <w:jc w:val="both"/>
      </w:pPr>
      <w:r>
        <w:rPr>
          <w:b/>
        </w:rPr>
        <w:t xml:space="preserve">Parametrizable ○  </w:t>
      </w:r>
      <w:r>
        <w:t>Solo intercambia información con lo que el producto ya prevé, y la interfaz que falte hay que construirla por fuera: configurar no la resuelve.</w:t>
      </w:r>
      <w:r>
        <w:rPr>
          <w:sz w:val="18"/>
        </w:rPr>
        <w:t xml:space="preserve"> </w:t>
      </w:r>
      <w:hyperlink w:anchor="fuente_23">
        <w:r>
          <w:rPr>
            <w:color w:val="1F3B63"/>
            <w:sz w:val="18"/>
          </w:rPr>
          <w:t>[23]</w:t>
        </w:r>
      </w:hyperlink>
    </w:p>
    <w:p w14:paraId="44CC46F0" w14:textId="77777777" w:rsidR="00FF3B0F" w:rsidRDefault="005306D5">
      <w:pPr>
        <w:pStyle w:val="Ttulo2"/>
      </w:pPr>
      <w:bookmarkStart w:id="11" w:name="_Toc239258724"/>
      <w:r>
        <w:t>4.7 Seguridad y cumplimiento</w:t>
      </w:r>
      <w:bookmarkEnd w:id="11"/>
    </w:p>
    <w:p w14:paraId="6BCA36C8" w14:textId="77777777" w:rsidR="00FF3B0F" w:rsidRDefault="005306D5">
      <w:pPr>
        <w:pStyle w:val="Ttulo3"/>
      </w:pPr>
      <w:r>
        <w:t>4.7.1 Adecuación del sistema a lo que la ley obliga</w:t>
      </w:r>
    </w:p>
    <w:p w14:paraId="47A48F71" w14:textId="77777777" w:rsidR="00FF3B0F" w:rsidRDefault="005306D5">
      <w:pPr>
        <w:spacing w:after="80"/>
        <w:jc w:val="both"/>
      </w:pPr>
      <w:r>
        <w:rPr>
          <w:i/>
        </w:rPr>
        <w:t>Si la organización puede implementar y verificar lo que la normativa le impone.</w:t>
      </w:r>
    </w:p>
    <w:p w14:paraId="0F1FB466" w14:textId="77777777" w:rsidR="00FF3B0F" w:rsidRDefault="005306D5">
      <w:pPr>
        <w:spacing w:after="40"/>
        <w:ind w:left="397"/>
        <w:jc w:val="both"/>
      </w:pPr>
      <w:r>
        <w:rPr>
          <w:b/>
        </w:rPr>
        <w:t xml:space="preserve">Propio ●  </w:t>
      </w:r>
      <w:r>
        <w:t>La ley obliga al responsable de los datos personales a adoptar las medidas técnicas y organizativas necesarias, y con desarrollo propio entran como requisitos de construcción y se verifican sobre lo construido, incluida la accesibilidad.</w:t>
      </w:r>
      <w:r>
        <w:rPr>
          <w:sz w:val="18"/>
        </w:rPr>
        <w:t xml:space="preserve"> </w:t>
      </w:r>
      <w:hyperlink w:anchor="fuente_8">
        <w:r>
          <w:rPr>
            <w:color w:val="1F3B63"/>
            <w:sz w:val="18"/>
          </w:rPr>
          <w:t>[8]</w:t>
        </w:r>
      </w:hyperlink>
      <w:hyperlink w:anchor="fuente_9">
        <w:r>
          <w:rPr>
            <w:color w:val="1F3B63"/>
            <w:sz w:val="18"/>
          </w:rPr>
          <w:t>[9]</w:t>
        </w:r>
      </w:hyperlink>
    </w:p>
    <w:p w14:paraId="4E58786F" w14:textId="77777777" w:rsidR="00FF3B0F" w:rsidRDefault="005306D5">
      <w:pPr>
        <w:spacing w:after="40"/>
        <w:ind w:left="397"/>
        <w:jc w:val="both"/>
      </w:pPr>
      <w:r>
        <w:rPr>
          <w:b/>
        </w:rPr>
        <w:t xml:space="preserve">Terceros ●  </w:t>
      </w:r>
      <w:r>
        <w:t>La obligación sigue siendo del responsable, y las medidas se pueden especificar por contrato y verificar en la aceptación del entregable.</w:t>
      </w:r>
      <w:r>
        <w:rPr>
          <w:sz w:val="18"/>
        </w:rPr>
        <w:t xml:space="preserve"> </w:t>
      </w:r>
      <w:hyperlink w:anchor="fuente_8">
        <w:r>
          <w:rPr>
            <w:color w:val="1F3B63"/>
            <w:sz w:val="18"/>
          </w:rPr>
          <w:t>[8]</w:t>
        </w:r>
      </w:hyperlink>
    </w:p>
    <w:p w14:paraId="331109D3" w14:textId="77777777" w:rsidR="00FF3B0F" w:rsidRDefault="005306D5">
      <w:pPr>
        <w:spacing w:after="40"/>
        <w:ind w:left="397"/>
        <w:jc w:val="both"/>
      </w:pPr>
      <w:r>
        <w:rPr>
          <w:b/>
        </w:rPr>
        <w:lastRenderedPageBreak/>
        <w:t xml:space="preserve">Cerrado ○  </w:t>
      </w:r>
      <w:r>
        <w:t>La adecuación depende de que el fabricante la implemente. Una agencia federal se demoró ocho meses por la falta de madurez del producto frente a las reglas del sector público.</w:t>
      </w:r>
      <w:r>
        <w:rPr>
          <w:sz w:val="18"/>
        </w:rPr>
        <w:t xml:space="preserve"> </w:t>
      </w:r>
      <w:hyperlink w:anchor="fuente_8">
        <w:r>
          <w:rPr>
            <w:color w:val="1F3B63"/>
            <w:sz w:val="18"/>
          </w:rPr>
          <w:t>[8]</w:t>
        </w:r>
      </w:hyperlink>
      <w:hyperlink w:anchor="fuente_3">
        <w:r>
          <w:rPr>
            <w:color w:val="1F3B63"/>
            <w:sz w:val="18"/>
          </w:rPr>
          <w:t>[3]</w:t>
        </w:r>
      </w:hyperlink>
      <w:hyperlink w:anchor="fuente_9">
        <w:r>
          <w:rPr>
            <w:color w:val="1F3B63"/>
            <w:sz w:val="18"/>
          </w:rPr>
          <w:t>[9]</w:t>
        </w:r>
      </w:hyperlink>
      <w:hyperlink w:anchor="fuente_22">
        <w:r>
          <w:rPr>
            <w:color w:val="1F3B63"/>
            <w:sz w:val="18"/>
          </w:rPr>
          <w:t>[22]</w:t>
        </w:r>
      </w:hyperlink>
    </w:p>
    <w:p w14:paraId="2FB2B2C7" w14:textId="77777777" w:rsidR="00FF3B0F" w:rsidRDefault="005306D5">
      <w:pPr>
        <w:spacing w:after="40"/>
        <w:ind w:left="397"/>
        <w:jc w:val="both"/>
      </w:pPr>
      <w:r>
        <w:rPr>
          <w:b/>
        </w:rPr>
        <w:t xml:space="preserve">Parametrizable ○  </w:t>
      </w:r>
      <w:r>
        <w:t>Configurar no alcanza para cubrir una exigencia que el núcleo no contempla. En el caso Phoenix el sistema entró en producción sin cumplir las políticas de accesibilidad del propio Estado.</w:t>
      </w:r>
      <w:r>
        <w:rPr>
          <w:sz w:val="18"/>
        </w:rPr>
        <w:t xml:space="preserve"> </w:t>
      </w:r>
      <w:hyperlink w:anchor="fuente_3">
        <w:r>
          <w:rPr>
            <w:color w:val="1F3B63"/>
            <w:sz w:val="18"/>
          </w:rPr>
          <w:t>[3]</w:t>
        </w:r>
      </w:hyperlink>
      <w:hyperlink w:anchor="fuente_18">
        <w:r>
          <w:rPr>
            <w:color w:val="1F3B63"/>
            <w:sz w:val="18"/>
          </w:rPr>
          <w:t>[18]</w:t>
        </w:r>
      </w:hyperlink>
      <w:hyperlink w:anchor="fuente_9">
        <w:r>
          <w:rPr>
            <w:color w:val="1F3B63"/>
            <w:sz w:val="18"/>
          </w:rPr>
          <w:t>[9]</w:t>
        </w:r>
      </w:hyperlink>
      <w:hyperlink w:anchor="fuente_44">
        <w:r>
          <w:rPr>
            <w:color w:val="1F3B63"/>
            <w:sz w:val="18"/>
          </w:rPr>
          <w:t>[44]</w:t>
        </w:r>
      </w:hyperlink>
    </w:p>
    <w:p w14:paraId="75814EF0" w14:textId="77777777" w:rsidR="00FF3B0F" w:rsidRDefault="005306D5">
      <w:pPr>
        <w:pStyle w:val="Ttulo3"/>
      </w:pPr>
      <w:r>
        <w:t>4.7.2 Conformidad ya demostrada ante normas externas</w:t>
      </w:r>
    </w:p>
    <w:p w14:paraId="7CBE346F" w14:textId="77777777" w:rsidR="00FF3B0F" w:rsidRDefault="005306D5">
      <w:pPr>
        <w:spacing w:after="80"/>
        <w:jc w:val="both"/>
      </w:pPr>
      <w:r>
        <w:rPr>
          <w:i/>
        </w:rPr>
        <w:t>Si la conformidad con normas externas ya está evaluada y documentada cuando la organización adopta el sistema.</w:t>
      </w:r>
    </w:p>
    <w:p w14:paraId="27EE9238" w14:textId="77777777" w:rsidR="00FF3B0F" w:rsidRDefault="005306D5">
      <w:pPr>
        <w:spacing w:after="40"/>
        <w:ind w:left="397"/>
        <w:jc w:val="both"/>
      </w:pPr>
      <w:r>
        <w:rPr>
          <w:b/>
        </w:rPr>
        <w:t xml:space="preserve">Propio ○  </w:t>
      </w:r>
      <w:r>
        <w:t>La conformidad hay que producirla: evaluación, documentación de auditoría y atribución de responsabilidad. Esos costos de gobernanza inclinan la decisión hacia proveedores que ya están certificados.</w:t>
      </w:r>
      <w:r>
        <w:rPr>
          <w:sz w:val="18"/>
        </w:rPr>
        <w:t xml:space="preserve"> </w:t>
      </w:r>
      <w:hyperlink w:anchor="fuente_16">
        <w:r>
          <w:rPr>
            <w:color w:val="1F3B63"/>
            <w:sz w:val="18"/>
          </w:rPr>
          <w:t>[16]</w:t>
        </w:r>
      </w:hyperlink>
      <w:hyperlink w:anchor="fuente_37">
        <w:r>
          <w:rPr>
            <w:color w:val="1F3B63"/>
            <w:sz w:val="18"/>
          </w:rPr>
          <w:t>[37]</w:t>
        </w:r>
      </w:hyperlink>
    </w:p>
    <w:p w14:paraId="066C269E" w14:textId="77777777" w:rsidR="00FF3B0F" w:rsidRDefault="005306D5">
      <w:pPr>
        <w:spacing w:after="40"/>
        <w:ind w:left="397"/>
        <w:jc w:val="both"/>
      </w:pPr>
      <w:r>
        <w:rPr>
          <w:b/>
        </w:rPr>
        <w:t xml:space="preserve">Terceros ○  </w:t>
      </w:r>
      <w:r>
        <w:t>El producto resultante es a medida: no trae certificación previa ni antecedentes de cumplimiento que la organización pueda invocar, y los costos de gobernanza corren por su cuenta.</w:t>
      </w:r>
      <w:r>
        <w:rPr>
          <w:sz w:val="18"/>
        </w:rPr>
        <w:t xml:space="preserve"> </w:t>
      </w:r>
      <w:hyperlink w:anchor="fuente_16">
        <w:r>
          <w:rPr>
            <w:color w:val="1F3B63"/>
            <w:sz w:val="18"/>
          </w:rPr>
          <w:t>[16]</w:t>
        </w:r>
      </w:hyperlink>
      <w:hyperlink w:anchor="fuente_37">
        <w:r>
          <w:rPr>
            <w:color w:val="1F3B63"/>
            <w:sz w:val="18"/>
          </w:rPr>
          <w:t>[37]</w:t>
        </w:r>
      </w:hyperlink>
    </w:p>
    <w:p w14:paraId="7E123EAE" w14:textId="77777777" w:rsidR="00FF3B0F" w:rsidRDefault="005306D5">
      <w:pPr>
        <w:spacing w:after="40"/>
        <w:ind w:left="397"/>
        <w:jc w:val="both"/>
      </w:pPr>
      <w:r>
        <w:rPr>
          <w:b/>
        </w:rPr>
        <w:t xml:space="preserve">Cerrado ●  </w:t>
      </w:r>
      <w:r>
        <w:t>Los costos de conformidad ya están pagados, y el fabricante publica informes por producto contra normas externas para que el comprador los examine antes de decidir.</w:t>
      </w:r>
      <w:r>
        <w:rPr>
          <w:sz w:val="18"/>
        </w:rPr>
        <w:t xml:space="preserve"> </w:t>
      </w:r>
      <w:hyperlink w:anchor="fuente_16">
        <w:r>
          <w:rPr>
            <w:color w:val="1F3B63"/>
            <w:sz w:val="18"/>
          </w:rPr>
          <w:t>[16]</w:t>
        </w:r>
      </w:hyperlink>
      <w:hyperlink w:anchor="fuente_37">
        <w:r>
          <w:rPr>
            <w:color w:val="1F3B63"/>
            <w:sz w:val="18"/>
          </w:rPr>
          <w:t>[37]</w:t>
        </w:r>
      </w:hyperlink>
      <w:hyperlink w:anchor="fuente_46">
        <w:r>
          <w:rPr>
            <w:color w:val="1F3B63"/>
            <w:sz w:val="18"/>
          </w:rPr>
          <w:t>[46]</w:t>
        </w:r>
      </w:hyperlink>
    </w:p>
    <w:p w14:paraId="1CFB9DC3" w14:textId="77777777" w:rsidR="00FF3B0F" w:rsidRDefault="005306D5">
      <w:pPr>
        <w:spacing w:after="40"/>
        <w:ind w:left="397"/>
        <w:jc w:val="both"/>
      </w:pPr>
      <w:r>
        <w:rPr>
          <w:b/>
        </w:rPr>
        <w:t xml:space="preserve">Parametrizable ●  </w:t>
      </w:r>
      <w:r>
        <w:t>El núcleo llega certificado y documentado, y la traducción y la localización corren por cuenta del fabricante. La certificación cubre el producto tal como se presenta.</w:t>
      </w:r>
      <w:r>
        <w:rPr>
          <w:sz w:val="18"/>
        </w:rPr>
        <w:t xml:space="preserve"> </w:t>
      </w:r>
      <w:hyperlink w:anchor="fuente_16">
        <w:r>
          <w:rPr>
            <w:color w:val="1F3B63"/>
            <w:sz w:val="18"/>
          </w:rPr>
          <w:t>[16]</w:t>
        </w:r>
      </w:hyperlink>
      <w:hyperlink w:anchor="fuente_37">
        <w:r>
          <w:rPr>
            <w:color w:val="1F3B63"/>
            <w:sz w:val="18"/>
          </w:rPr>
          <w:t>[37]</w:t>
        </w:r>
      </w:hyperlink>
      <w:hyperlink w:anchor="fuente_46">
        <w:r>
          <w:rPr>
            <w:color w:val="1F3B63"/>
            <w:sz w:val="18"/>
          </w:rPr>
          <w:t>[46]</w:t>
        </w:r>
      </w:hyperlink>
    </w:p>
    <w:p w14:paraId="7BE001C0" w14:textId="77777777" w:rsidR="00FF3B0F" w:rsidRDefault="005306D5">
      <w:pPr>
        <w:pStyle w:val="Ttulo3"/>
      </w:pPr>
      <w:r>
        <w:t>4.7.3 Prácticas de desarrollo seguro e inventario de componentes</w:t>
      </w:r>
    </w:p>
    <w:p w14:paraId="5BB020A1" w14:textId="77777777" w:rsidR="00FF3B0F" w:rsidRDefault="005306D5">
      <w:pPr>
        <w:spacing w:after="80"/>
        <w:jc w:val="both"/>
      </w:pPr>
      <w:r>
        <w:rPr>
          <w:i/>
        </w:rPr>
        <w:t>Si la organización puede imponer las prácticas de construcción y saber qué componentes entran.</w:t>
      </w:r>
    </w:p>
    <w:p w14:paraId="0EE0A053" w14:textId="77777777" w:rsidR="00FF3B0F" w:rsidRDefault="005306D5">
      <w:pPr>
        <w:spacing w:after="40"/>
        <w:ind w:left="397"/>
        <w:jc w:val="both"/>
      </w:pPr>
      <w:r>
        <w:rPr>
          <w:b/>
        </w:rPr>
        <w:t xml:space="preserve">Propio ●  </w:t>
      </w:r>
      <w:r>
        <w:t>Con el código en la mano la organización impone y verifica las prácticas de construcción, y sabe qué componentes entran, incluidos los de terceros que incorpore.</w:t>
      </w:r>
      <w:r>
        <w:rPr>
          <w:i/>
        </w:rPr>
        <w:t xml:space="preserve"> [por contraste]</w:t>
      </w:r>
      <w:r>
        <w:rPr>
          <w:sz w:val="18"/>
        </w:rPr>
        <w:t xml:space="preserve"> </w:t>
      </w:r>
      <w:hyperlink w:anchor="fuente_42">
        <w:r>
          <w:rPr>
            <w:color w:val="1F3B63"/>
            <w:sz w:val="18"/>
          </w:rPr>
          <w:t>[42]</w:t>
        </w:r>
      </w:hyperlink>
      <w:hyperlink w:anchor="fuente_36">
        <w:r>
          <w:rPr>
            <w:color w:val="1F3B63"/>
            <w:sz w:val="18"/>
          </w:rPr>
          <w:t>[36]</w:t>
        </w:r>
      </w:hyperlink>
      <w:hyperlink w:anchor="fuente_47">
        <w:r>
          <w:rPr>
            <w:color w:val="1F3B63"/>
            <w:sz w:val="18"/>
          </w:rPr>
          <w:t>[47]</w:t>
        </w:r>
      </w:hyperlink>
    </w:p>
    <w:p w14:paraId="5A734FD7" w14:textId="77777777" w:rsidR="00FF3B0F" w:rsidRDefault="005306D5">
      <w:pPr>
        <w:spacing w:after="40"/>
        <w:ind w:left="397"/>
        <w:jc w:val="both"/>
      </w:pPr>
      <w:r>
        <w:rPr>
          <w:b/>
        </w:rPr>
        <w:t xml:space="preserve">Terceros ●  </w:t>
      </w:r>
      <w:r>
        <w:t>Los requisitos de desarrollo seguro se pueden exigir por contrato, y se trasladan a todo tercero que aporte componentes comerciales.</w:t>
      </w:r>
      <w:r>
        <w:rPr>
          <w:sz w:val="18"/>
        </w:rPr>
        <w:t xml:space="preserve"> </w:t>
      </w:r>
      <w:hyperlink w:anchor="fuente_36">
        <w:r>
          <w:rPr>
            <w:color w:val="1F3B63"/>
            <w:sz w:val="18"/>
          </w:rPr>
          <w:t>[36]</w:t>
        </w:r>
      </w:hyperlink>
    </w:p>
    <w:p w14:paraId="14CAD415" w14:textId="77777777" w:rsidR="00FF3B0F" w:rsidRDefault="005306D5">
      <w:pPr>
        <w:spacing w:after="40"/>
        <w:ind w:left="397"/>
        <w:jc w:val="both"/>
      </w:pPr>
      <w:r>
        <w:rPr>
          <w:b/>
        </w:rPr>
        <w:t xml:space="preserve">Cerrado ○  </w:t>
      </w:r>
      <w:r>
        <w:t>Los requisitos de desarrollo seguro rara vez se negocian sobre un producto empaquetado, y el inventario de componentes depende del fabricante, que no lo entrega: se genera para consumo interno.</w:t>
      </w:r>
      <w:r>
        <w:rPr>
          <w:sz w:val="18"/>
        </w:rPr>
        <w:t xml:space="preserve"> </w:t>
      </w:r>
      <w:hyperlink w:anchor="fuente_36">
        <w:r>
          <w:rPr>
            <w:color w:val="1F3B63"/>
            <w:sz w:val="18"/>
          </w:rPr>
          <w:t>[36]</w:t>
        </w:r>
      </w:hyperlink>
      <w:hyperlink w:anchor="fuente_13">
        <w:r>
          <w:rPr>
            <w:color w:val="1F3B63"/>
            <w:sz w:val="18"/>
          </w:rPr>
          <w:t>[13]</w:t>
        </w:r>
      </w:hyperlink>
      <w:hyperlink w:anchor="fuente_48">
        <w:r>
          <w:rPr>
            <w:color w:val="1F3B63"/>
            <w:sz w:val="18"/>
          </w:rPr>
          <w:t>[48]</w:t>
        </w:r>
      </w:hyperlink>
    </w:p>
    <w:p w14:paraId="4436EF76" w14:textId="77777777" w:rsidR="00FF3B0F" w:rsidRDefault="005306D5">
      <w:pPr>
        <w:spacing w:after="40"/>
        <w:ind w:left="397"/>
        <w:jc w:val="both"/>
      </w:pPr>
      <w:r>
        <w:rPr>
          <w:b/>
        </w:rPr>
        <w:t xml:space="preserve">Parametrizable ○  </w:t>
      </w:r>
      <w:r>
        <w:t>Los requisitos de desarrollo seguro tampoco se negocian sobre el núcleo, y los componentes que el fabricante incorpore entran con él al perímetro sin que la organización sepa cuáles son.</w:t>
      </w:r>
      <w:r>
        <w:rPr>
          <w:sz w:val="18"/>
        </w:rPr>
        <w:t xml:space="preserve"> </w:t>
      </w:r>
      <w:hyperlink w:anchor="fuente_36">
        <w:r>
          <w:rPr>
            <w:color w:val="1F3B63"/>
            <w:sz w:val="18"/>
          </w:rPr>
          <w:t>[36]</w:t>
        </w:r>
      </w:hyperlink>
      <w:hyperlink w:anchor="fuente_49">
        <w:r>
          <w:rPr>
            <w:color w:val="1F3B63"/>
            <w:sz w:val="18"/>
          </w:rPr>
          <w:t>[49]</w:t>
        </w:r>
      </w:hyperlink>
    </w:p>
    <w:p w14:paraId="0A8D66CD" w14:textId="77777777" w:rsidR="00FF3B0F" w:rsidRDefault="005306D5">
      <w:pPr>
        <w:pStyle w:val="Ttulo2"/>
      </w:pPr>
      <w:bookmarkStart w:id="12" w:name="_Toc239258725"/>
      <w:r>
        <w:t>4.8 Modelo de contratos y licenciamiento</w:t>
      </w:r>
      <w:bookmarkEnd w:id="12"/>
    </w:p>
    <w:p w14:paraId="6DAD6D48" w14:textId="77777777" w:rsidR="00FF3B0F" w:rsidRDefault="005306D5">
      <w:pPr>
        <w:pStyle w:val="Ttulo3"/>
      </w:pPr>
      <w:r>
        <w:t>4.8.1 Control sobre qué cambia en el sistema y cuándo</w:t>
      </w:r>
    </w:p>
    <w:p w14:paraId="314666CE" w14:textId="77777777" w:rsidR="00FF3B0F" w:rsidRDefault="005306D5">
      <w:pPr>
        <w:spacing w:after="80"/>
        <w:jc w:val="both"/>
      </w:pPr>
      <w:r>
        <w:rPr>
          <w:i/>
        </w:rPr>
        <w:t>Quién decide las prioridades de evolución del sistema y hasta cuándo pueden pedirse cambios.</w:t>
      </w:r>
    </w:p>
    <w:p w14:paraId="74E2CC37" w14:textId="77777777" w:rsidR="00FF3B0F" w:rsidRDefault="005306D5">
      <w:pPr>
        <w:spacing w:after="40"/>
        <w:ind w:left="397"/>
        <w:jc w:val="both"/>
      </w:pPr>
      <w:r>
        <w:rPr>
          <w:b/>
        </w:rPr>
        <w:t xml:space="preserve">Propio ●  </w:t>
      </w:r>
      <w:r>
        <w:t>Las prioridades las fija la organización. Para una función estratégica es determinante: el riesgo principal es no llegar antes que el competidor.</w:t>
      </w:r>
      <w:r>
        <w:rPr>
          <w:sz w:val="18"/>
        </w:rPr>
        <w:t xml:space="preserve"> </w:t>
      </w:r>
      <w:hyperlink w:anchor="fuente_15">
        <w:r>
          <w:rPr>
            <w:color w:val="1F3B63"/>
            <w:sz w:val="18"/>
          </w:rPr>
          <w:t>[15]</w:t>
        </w:r>
      </w:hyperlink>
      <w:hyperlink w:anchor="fuente_1">
        <w:r>
          <w:rPr>
            <w:color w:val="1F3B63"/>
            <w:sz w:val="18"/>
          </w:rPr>
          <w:t>[1]</w:t>
        </w:r>
      </w:hyperlink>
    </w:p>
    <w:p w14:paraId="3BC162F3" w14:textId="77777777" w:rsidR="00FF3B0F" w:rsidRDefault="005306D5">
      <w:pPr>
        <w:spacing w:after="40"/>
        <w:ind w:left="397"/>
        <w:jc w:val="both"/>
      </w:pPr>
      <w:r>
        <w:rPr>
          <w:b/>
        </w:rPr>
        <w:t xml:space="preserve">Terceros ●  </w:t>
      </w:r>
      <w:r>
        <w:t>El alcance se fija por contrato y la agenda la sigue definiendo quien encarga. El límite aparece después: cuando sostener el sistema pasa a depender de consultores, se pierde de vista cómo recuperar el control.</w:t>
      </w:r>
      <w:r>
        <w:rPr>
          <w:sz w:val="18"/>
        </w:rPr>
        <w:t xml:space="preserve"> </w:t>
      </w:r>
      <w:hyperlink w:anchor="fuente_15">
        <w:r>
          <w:rPr>
            <w:color w:val="1F3B63"/>
            <w:sz w:val="18"/>
          </w:rPr>
          <w:t>[15]</w:t>
        </w:r>
      </w:hyperlink>
      <w:hyperlink w:anchor="fuente_43">
        <w:r>
          <w:rPr>
            <w:color w:val="1F3B63"/>
            <w:sz w:val="18"/>
          </w:rPr>
          <w:t>[43]</w:t>
        </w:r>
      </w:hyperlink>
      <w:hyperlink w:anchor="fuente_1">
        <w:r>
          <w:rPr>
            <w:color w:val="1F3B63"/>
            <w:sz w:val="18"/>
          </w:rPr>
          <w:t>[1]</w:t>
        </w:r>
      </w:hyperlink>
    </w:p>
    <w:p w14:paraId="04FDDF9E" w14:textId="77777777" w:rsidR="00FF3B0F" w:rsidRDefault="005306D5">
      <w:pPr>
        <w:spacing w:after="40"/>
        <w:ind w:left="397"/>
        <w:jc w:val="both"/>
      </w:pPr>
      <w:r>
        <w:rPr>
          <w:b/>
        </w:rPr>
        <w:lastRenderedPageBreak/>
        <w:t xml:space="preserve">Cerrado ○  </w:t>
      </w:r>
      <w:r>
        <w:t>A los fabricantes no se los controla: el único control real es decidir si se compra y cuántas copias. El derecho a pedir cambios además vence durante el soporte extendido.</w:t>
      </w:r>
      <w:r>
        <w:rPr>
          <w:sz w:val="18"/>
        </w:rPr>
        <w:t xml:space="preserve"> </w:t>
      </w:r>
      <w:hyperlink w:anchor="fuente_3">
        <w:r>
          <w:rPr>
            <w:color w:val="1F3B63"/>
            <w:sz w:val="18"/>
          </w:rPr>
          <w:t>[3]</w:t>
        </w:r>
      </w:hyperlink>
      <w:hyperlink w:anchor="fuente_13">
        <w:r>
          <w:rPr>
            <w:color w:val="1F3B63"/>
            <w:sz w:val="18"/>
          </w:rPr>
          <w:t>[13]</w:t>
        </w:r>
      </w:hyperlink>
      <w:hyperlink w:anchor="fuente_10">
        <w:r>
          <w:rPr>
            <w:color w:val="1F3B63"/>
            <w:sz w:val="18"/>
          </w:rPr>
          <w:t>[10]</w:t>
        </w:r>
      </w:hyperlink>
    </w:p>
    <w:p w14:paraId="1A7873FD" w14:textId="77777777" w:rsidR="00FF3B0F" w:rsidRDefault="005306D5">
      <w:pPr>
        <w:spacing w:after="40"/>
        <w:ind w:left="397"/>
        <w:jc w:val="both"/>
      </w:pPr>
      <w:r>
        <w:rPr>
          <w:b/>
        </w:rPr>
        <w:t xml:space="preserve">Parametrizable ○  </w:t>
      </w:r>
      <w:r>
        <w:t>El margen de ajuste llega hasta el techo del producto. Más allá, la organización no controla esas decisiones ni puede compensarlas modificando el producto.</w:t>
      </w:r>
      <w:r>
        <w:rPr>
          <w:sz w:val="18"/>
        </w:rPr>
        <w:t xml:space="preserve"> </w:t>
      </w:r>
      <w:hyperlink w:anchor="fuente_3">
        <w:r>
          <w:rPr>
            <w:color w:val="1F3B63"/>
            <w:sz w:val="18"/>
          </w:rPr>
          <w:t>[3]</w:t>
        </w:r>
      </w:hyperlink>
      <w:hyperlink w:anchor="fuente_10">
        <w:r>
          <w:rPr>
            <w:color w:val="1F3B63"/>
            <w:sz w:val="18"/>
          </w:rPr>
          <w:t>[10]</w:t>
        </w:r>
      </w:hyperlink>
    </w:p>
    <w:p w14:paraId="1A065E3F" w14:textId="77777777" w:rsidR="00FF3B0F" w:rsidRDefault="005306D5">
      <w:pPr>
        <w:pStyle w:val="Ttulo3"/>
      </w:pPr>
      <w:r>
        <w:t>4.8.2 Independencia de quien provee el software</w:t>
      </w:r>
    </w:p>
    <w:p w14:paraId="015A463F" w14:textId="77777777" w:rsidR="00FF3B0F" w:rsidRDefault="005306D5">
      <w:pPr>
        <w:spacing w:after="80"/>
        <w:jc w:val="both"/>
      </w:pPr>
      <w:r>
        <w:rPr>
          <w:i/>
        </w:rPr>
        <w:t>Cuánto cuesta dejar a quien provee hoy el sistema, y qué pasa si desaparece.</w:t>
      </w:r>
    </w:p>
    <w:p w14:paraId="7F458A91" w14:textId="77777777" w:rsidR="00FF3B0F" w:rsidRDefault="005306D5">
      <w:pPr>
        <w:spacing w:after="40"/>
        <w:ind w:left="397"/>
        <w:jc w:val="both"/>
      </w:pPr>
      <w:r>
        <w:rPr>
          <w:b/>
        </w:rPr>
        <w:t xml:space="preserve">Propio ●  </w:t>
      </w:r>
      <w:r>
        <w:t>El código queda en propiedad de la organización, accesible y más fácil de modificar, extender y trasladar. No hay un tercero cuya salida deje al sistema sin sostén.</w:t>
      </w:r>
      <w:r>
        <w:rPr>
          <w:sz w:val="18"/>
        </w:rPr>
        <w:t xml:space="preserve"> </w:t>
      </w:r>
      <w:hyperlink w:anchor="fuente_47">
        <w:r>
          <w:rPr>
            <w:color w:val="1F3B63"/>
            <w:sz w:val="18"/>
          </w:rPr>
          <w:t>[47]</w:t>
        </w:r>
      </w:hyperlink>
      <w:hyperlink w:anchor="fuente_42">
        <w:r>
          <w:rPr>
            <w:color w:val="1F3B63"/>
            <w:sz w:val="18"/>
          </w:rPr>
          <w:t>[42]</w:t>
        </w:r>
      </w:hyperlink>
      <w:hyperlink w:anchor="fuente_50">
        <w:r>
          <w:rPr>
            <w:color w:val="1F3B63"/>
            <w:sz w:val="18"/>
          </w:rPr>
          <w:t>[50]</w:t>
        </w:r>
      </w:hyperlink>
    </w:p>
    <w:p w14:paraId="29E1D8E9" w14:textId="77777777" w:rsidR="00FF3B0F" w:rsidRDefault="005306D5">
      <w:pPr>
        <w:spacing w:after="40"/>
        <w:ind w:left="397"/>
        <w:jc w:val="both"/>
      </w:pPr>
      <w:r>
        <w:rPr>
          <w:b/>
        </w:rPr>
        <w:t xml:space="preserve">Terceros ○  </w:t>
      </w:r>
      <w:r>
        <w:t>Quien escribió el sistema es quien puede mantenerlo a menor costo: si se retira, queda un sistema que nadie dentro conoce. Un caso documentado salió a producción con más de cincuenta defectos y terminó en juicio.</w:t>
      </w:r>
      <w:r>
        <w:rPr>
          <w:sz w:val="18"/>
        </w:rPr>
        <w:t xml:space="preserve"> </w:t>
      </w:r>
      <w:hyperlink w:anchor="fuente_26">
        <w:r>
          <w:rPr>
            <w:color w:val="1F3B63"/>
            <w:sz w:val="18"/>
          </w:rPr>
          <w:t>[26]</w:t>
        </w:r>
      </w:hyperlink>
      <w:hyperlink w:anchor="fuente_50">
        <w:r>
          <w:rPr>
            <w:color w:val="1F3B63"/>
            <w:sz w:val="18"/>
          </w:rPr>
          <w:t>[50]</w:t>
        </w:r>
      </w:hyperlink>
      <w:hyperlink w:anchor="fuente_7">
        <w:r>
          <w:rPr>
            <w:color w:val="1F3B63"/>
            <w:sz w:val="18"/>
          </w:rPr>
          <w:t>[7]</w:t>
        </w:r>
      </w:hyperlink>
    </w:p>
    <w:p w14:paraId="584B27CD" w14:textId="77777777" w:rsidR="00FF3B0F" w:rsidRDefault="005306D5">
      <w:pPr>
        <w:spacing w:after="40"/>
        <w:ind w:left="397"/>
        <w:jc w:val="both"/>
      </w:pPr>
      <w:r>
        <w:rPr>
          <w:b/>
        </w:rPr>
        <w:t xml:space="preserve">Cerrado ○  </w:t>
      </w:r>
      <w:r>
        <w:t>Dejar el producto no cuesta solo la licencia: hay que costear la evaluación continua, el seguimiento del mercado, su integración con lo existente y la portabilidad de los datos.</w:t>
      </w:r>
      <w:r>
        <w:rPr>
          <w:sz w:val="18"/>
        </w:rPr>
        <w:t xml:space="preserve"> </w:t>
      </w:r>
      <w:hyperlink w:anchor="fuente_3">
        <w:r>
          <w:rPr>
            <w:color w:val="1F3B63"/>
            <w:sz w:val="18"/>
          </w:rPr>
          <w:t>[3]</w:t>
        </w:r>
      </w:hyperlink>
      <w:hyperlink w:anchor="fuente_51">
        <w:r>
          <w:rPr>
            <w:color w:val="1F3B63"/>
            <w:sz w:val="18"/>
          </w:rPr>
          <w:t>[51]</w:t>
        </w:r>
      </w:hyperlink>
    </w:p>
    <w:p w14:paraId="5642D669" w14:textId="77777777" w:rsidR="00FF3B0F" w:rsidRDefault="005306D5">
      <w:pPr>
        <w:spacing w:after="40"/>
        <w:ind w:left="397"/>
        <w:jc w:val="both"/>
      </w:pPr>
      <w:r>
        <w:rPr>
          <w:b/>
        </w:rPr>
        <w:t xml:space="preserve">Parametrizable ○  </w:t>
      </w:r>
      <w:r>
        <w:t>Cada parametrización sube el costo de salida, y si el fabricante descontinúa la línea ningún implementador puede sostenerla. Las calificaciones compuestas de proveedores tienden a ocultar ese riesgo.</w:t>
      </w:r>
      <w:r>
        <w:rPr>
          <w:sz w:val="18"/>
        </w:rPr>
        <w:t xml:space="preserve"> </w:t>
      </w:r>
      <w:hyperlink w:anchor="fuente_50">
        <w:r>
          <w:rPr>
            <w:color w:val="1F3B63"/>
            <w:sz w:val="18"/>
          </w:rPr>
          <w:t>[50]</w:t>
        </w:r>
      </w:hyperlink>
      <w:hyperlink w:anchor="fuente_27">
        <w:r>
          <w:rPr>
            <w:color w:val="1F3B63"/>
            <w:sz w:val="18"/>
          </w:rPr>
          <w:t>[27]</w:t>
        </w:r>
      </w:hyperlink>
      <w:hyperlink w:anchor="fuente_3">
        <w:r>
          <w:rPr>
            <w:color w:val="1F3B63"/>
            <w:sz w:val="18"/>
          </w:rPr>
          <w:t>[3]</w:t>
        </w:r>
      </w:hyperlink>
      <w:hyperlink w:anchor="fuente_13">
        <w:r>
          <w:rPr>
            <w:color w:val="1F3B63"/>
            <w:sz w:val="18"/>
          </w:rPr>
          <w:t>[13]</w:t>
        </w:r>
      </w:hyperlink>
    </w:p>
    <w:p w14:paraId="5D286C69" w14:textId="77777777" w:rsidR="00FF3B0F" w:rsidRDefault="005306D5">
      <w:pPr>
        <w:pStyle w:val="Ttulo2"/>
      </w:pPr>
      <w:bookmarkStart w:id="13" w:name="_Toc239258726"/>
      <w:r>
        <w:t>4.9 Capacidad de la organización y costo de oportunidad</w:t>
      </w:r>
      <w:bookmarkEnd w:id="13"/>
    </w:p>
    <w:p w14:paraId="72D3D20E" w14:textId="77777777" w:rsidR="00FF3B0F" w:rsidRDefault="005306D5">
      <w:pPr>
        <w:pStyle w:val="Ttulo3"/>
      </w:pPr>
      <w:r>
        <w:t>4.9.1 Conocimiento del negocio de quien define los requerimientos</w:t>
      </w:r>
    </w:p>
    <w:p w14:paraId="432E6217" w14:textId="77777777" w:rsidR="00FF3B0F" w:rsidRDefault="005306D5">
      <w:pPr>
        <w:spacing w:after="80"/>
        <w:jc w:val="both"/>
      </w:pPr>
      <w:r>
        <w:rPr>
          <w:i/>
        </w:rPr>
        <w:t>Si quien define lo que el sistema tiene que resolver tiene conocimiento directo del proceso que va a soportar.</w:t>
      </w:r>
    </w:p>
    <w:p w14:paraId="6575E1B2" w14:textId="77777777" w:rsidR="00FF3B0F" w:rsidRDefault="005306D5">
      <w:pPr>
        <w:spacing w:after="40"/>
        <w:ind w:left="397"/>
        <w:jc w:val="both"/>
      </w:pPr>
      <w:r>
        <w:rPr>
          <w:b/>
        </w:rPr>
        <w:t xml:space="preserve">Propio ●  </w:t>
      </w:r>
      <w:r>
        <w:t>Quien enuncia los requerimientos pertenece a la organización, y eso reduce el riesgo de requisitos incompletos, que encabezan las causas de cancelación con el 13,1%. No garantiza el resultado: enunciarlos sin revisar el proceso también sale mal.</w:t>
      </w:r>
      <w:r>
        <w:rPr>
          <w:sz w:val="18"/>
        </w:rPr>
        <w:t xml:space="preserve"> </w:t>
      </w:r>
      <w:hyperlink w:anchor="fuente_3">
        <w:r>
          <w:rPr>
            <w:color w:val="1F3B63"/>
            <w:sz w:val="18"/>
          </w:rPr>
          <w:t>[3]</w:t>
        </w:r>
      </w:hyperlink>
      <w:hyperlink w:anchor="fuente_4">
        <w:r>
          <w:rPr>
            <w:color w:val="1F3B63"/>
            <w:sz w:val="18"/>
          </w:rPr>
          <w:t>[4]</w:t>
        </w:r>
      </w:hyperlink>
      <w:hyperlink w:anchor="fuente_33">
        <w:r>
          <w:rPr>
            <w:color w:val="1F3B63"/>
            <w:sz w:val="18"/>
          </w:rPr>
          <w:t>[33]</w:t>
        </w:r>
      </w:hyperlink>
      <w:hyperlink w:anchor="fuente_19">
        <w:r>
          <w:rPr>
            <w:color w:val="1F3B63"/>
            <w:sz w:val="18"/>
          </w:rPr>
          <w:t>[19]</w:t>
        </w:r>
      </w:hyperlink>
    </w:p>
    <w:p w14:paraId="76606598" w14:textId="77777777" w:rsidR="00FF3B0F" w:rsidRDefault="005306D5">
      <w:pPr>
        <w:spacing w:after="40"/>
        <w:ind w:left="397"/>
        <w:jc w:val="both"/>
      </w:pPr>
      <w:r>
        <w:rPr>
          <w:b/>
        </w:rPr>
        <w:t xml:space="preserve">Terceros ○  </w:t>
      </w:r>
      <w:r>
        <w:t>El relevamiento lo hace alguien externo al negocio, y eso aumenta el riesgo de acordar requerimientos que después no se pueden cumplir.</w:t>
      </w:r>
      <w:r>
        <w:rPr>
          <w:sz w:val="18"/>
        </w:rPr>
        <w:t xml:space="preserve"> </w:t>
      </w:r>
      <w:hyperlink w:anchor="fuente_20">
        <w:r>
          <w:rPr>
            <w:color w:val="1F3B63"/>
            <w:sz w:val="18"/>
          </w:rPr>
          <w:t>[20]</w:t>
        </w:r>
      </w:hyperlink>
      <w:hyperlink w:anchor="fuente_4">
        <w:r>
          <w:rPr>
            <w:color w:val="1F3B63"/>
            <w:sz w:val="18"/>
          </w:rPr>
          <w:t>[4]</w:t>
        </w:r>
      </w:hyperlink>
    </w:p>
    <w:p w14:paraId="6B2662B1" w14:textId="77777777" w:rsidR="00FF3B0F" w:rsidRDefault="005306D5">
      <w:pPr>
        <w:spacing w:after="40"/>
        <w:ind w:left="397"/>
        <w:jc w:val="both"/>
      </w:pPr>
      <w:r>
        <w:rPr>
          <w:b/>
        </w:rPr>
        <w:t xml:space="preserve">Cerrado ○  </w:t>
      </w:r>
      <w:r>
        <w:t>El punto de partida se invierte: se parte de requerimientos generales y se mide cuán cerca queda el mercado.</w:t>
      </w:r>
      <w:r>
        <w:rPr>
          <w:sz w:val="18"/>
        </w:rPr>
        <w:t xml:space="preserve"> </w:t>
      </w:r>
      <w:hyperlink w:anchor="fuente_3">
        <w:r>
          <w:rPr>
            <w:color w:val="1F3B63"/>
            <w:sz w:val="18"/>
          </w:rPr>
          <w:t>[3]</w:t>
        </w:r>
      </w:hyperlink>
      <w:hyperlink w:anchor="fuente_1">
        <w:r>
          <w:rPr>
            <w:color w:val="1F3B63"/>
            <w:sz w:val="18"/>
          </w:rPr>
          <w:t>[1]</w:t>
        </w:r>
      </w:hyperlink>
    </w:p>
    <w:p w14:paraId="3AA4FE7C" w14:textId="77777777" w:rsidR="00FF3B0F" w:rsidRDefault="005306D5">
      <w:pPr>
        <w:spacing w:after="40"/>
        <w:ind w:left="397"/>
        <w:jc w:val="both"/>
      </w:pPr>
      <w:r>
        <w:rPr>
          <w:b/>
        </w:rPr>
        <w:t xml:space="preserve">Parametrizable ○  </w:t>
      </w:r>
      <w:r>
        <w:t>Solo se puede pedir lo que la configuración admite. Lo demás queda afuera, no porque la organización no lo necesite sino porque el producto no lo contempla.</w:t>
      </w:r>
      <w:r>
        <w:rPr>
          <w:sz w:val="18"/>
        </w:rPr>
        <w:t xml:space="preserve"> </w:t>
      </w:r>
      <w:hyperlink w:anchor="fuente_18">
        <w:r>
          <w:rPr>
            <w:color w:val="1F3B63"/>
            <w:sz w:val="18"/>
          </w:rPr>
          <w:t>[18]</w:t>
        </w:r>
      </w:hyperlink>
      <w:hyperlink w:anchor="fuente_3">
        <w:r>
          <w:rPr>
            <w:color w:val="1F3B63"/>
            <w:sz w:val="18"/>
          </w:rPr>
          <w:t>[3]</w:t>
        </w:r>
      </w:hyperlink>
    </w:p>
    <w:p w14:paraId="66C3C152" w14:textId="77777777" w:rsidR="00FF3B0F" w:rsidRDefault="005306D5">
      <w:pPr>
        <w:pStyle w:val="Ttulo3"/>
      </w:pPr>
      <w:r>
        <w:t>4.9.2 Intervención de los usuarios en cómo se opera el sistema</w:t>
      </w:r>
    </w:p>
    <w:p w14:paraId="7EDC64AA" w14:textId="77777777" w:rsidR="00FF3B0F" w:rsidRDefault="005306D5">
      <w:pPr>
        <w:spacing w:after="80"/>
        <w:jc w:val="both"/>
      </w:pPr>
      <w:r>
        <w:rPr>
          <w:i/>
        </w:rPr>
        <w:t>Si quienes van a usarlo todos los días intervienen en las decisiones sobre la forma de operarlo.</w:t>
      </w:r>
    </w:p>
    <w:p w14:paraId="680ED3F4" w14:textId="77777777" w:rsidR="00FF3B0F" w:rsidRDefault="005306D5">
      <w:pPr>
        <w:spacing w:after="40"/>
        <w:ind w:left="397"/>
        <w:jc w:val="both"/>
      </w:pPr>
      <w:r>
        <w:rPr>
          <w:b/>
        </w:rPr>
        <w:t xml:space="preserve">Propio ●  </w:t>
      </w:r>
      <w:r>
        <w:t>La construcción se organiza involucrando al usuario, primer factor de éxito según los propios responsables de sistemas, con el 15,9% de las respuestas.</w:t>
      </w:r>
      <w:r>
        <w:rPr>
          <w:sz w:val="18"/>
        </w:rPr>
        <w:t xml:space="preserve"> </w:t>
      </w:r>
      <w:hyperlink w:anchor="fuente_4">
        <w:r>
          <w:rPr>
            <w:color w:val="1F3B63"/>
            <w:sz w:val="18"/>
          </w:rPr>
          <w:t>[4]</w:t>
        </w:r>
      </w:hyperlink>
      <w:hyperlink w:anchor="fuente_3">
        <w:r>
          <w:rPr>
            <w:color w:val="1F3B63"/>
            <w:sz w:val="18"/>
          </w:rPr>
          <w:t>[3]</w:t>
        </w:r>
      </w:hyperlink>
      <w:hyperlink w:anchor="fuente_17">
        <w:r>
          <w:rPr>
            <w:color w:val="1F3B63"/>
            <w:sz w:val="18"/>
          </w:rPr>
          <w:t>[17]</w:t>
        </w:r>
      </w:hyperlink>
    </w:p>
    <w:p w14:paraId="1BE61DC5" w14:textId="77777777" w:rsidR="00FF3B0F" w:rsidRDefault="005306D5">
      <w:pPr>
        <w:spacing w:after="40"/>
        <w:ind w:left="397"/>
        <w:jc w:val="both"/>
      </w:pPr>
      <w:r>
        <w:rPr>
          <w:b/>
        </w:rPr>
        <w:t xml:space="preserve">Terceros ●  </w:t>
      </w:r>
      <w:r>
        <w:t>El involucramiento se pacta como parte del método de trabajo y se verifica en la aceptación. Su ausencia es la segunda causa de cancelación, con el 12,4% de las respuestas.</w:t>
      </w:r>
      <w:r>
        <w:rPr>
          <w:sz w:val="18"/>
        </w:rPr>
        <w:t xml:space="preserve"> </w:t>
      </w:r>
      <w:hyperlink w:anchor="fuente_4">
        <w:r>
          <w:rPr>
            <w:color w:val="1F3B63"/>
            <w:sz w:val="18"/>
          </w:rPr>
          <w:t>[4]</w:t>
        </w:r>
      </w:hyperlink>
      <w:hyperlink w:anchor="fuente_52">
        <w:r>
          <w:rPr>
            <w:color w:val="1F3B63"/>
            <w:sz w:val="18"/>
          </w:rPr>
          <w:t>[52]</w:t>
        </w:r>
      </w:hyperlink>
    </w:p>
    <w:p w14:paraId="6610D825" w14:textId="77777777" w:rsidR="00FF3B0F" w:rsidRDefault="005306D5">
      <w:pPr>
        <w:spacing w:after="40"/>
        <w:ind w:left="397"/>
        <w:jc w:val="both"/>
      </w:pPr>
      <w:r>
        <w:rPr>
          <w:b/>
        </w:rPr>
        <w:t xml:space="preserve">Cerrado ○  </w:t>
      </w:r>
      <w:r>
        <w:t>La participación queda reducida a aceptar lo que el producto ya decidió, justo en el factor que más pesa, y la interfaz llega definida por el fabricante.</w:t>
      </w:r>
      <w:r>
        <w:rPr>
          <w:sz w:val="18"/>
        </w:rPr>
        <w:t xml:space="preserve"> </w:t>
      </w:r>
      <w:hyperlink w:anchor="fuente_4">
        <w:r>
          <w:rPr>
            <w:color w:val="1F3B63"/>
            <w:sz w:val="18"/>
          </w:rPr>
          <w:t>[4]</w:t>
        </w:r>
      </w:hyperlink>
      <w:hyperlink w:anchor="fuente_3">
        <w:r>
          <w:rPr>
            <w:color w:val="1F3B63"/>
            <w:sz w:val="18"/>
          </w:rPr>
          <w:t>[3]</w:t>
        </w:r>
      </w:hyperlink>
    </w:p>
    <w:p w14:paraId="2F40EB85" w14:textId="77777777" w:rsidR="00FF3B0F" w:rsidRDefault="005306D5">
      <w:pPr>
        <w:spacing w:after="40"/>
        <w:ind w:left="397"/>
        <w:jc w:val="both"/>
      </w:pPr>
      <w:r>
        <w:rPr>
          <w:b/>
        </w:rPr>
        <w:t xml:space="preserve">Parametrizable ○  </w:t>
      </w:r>
      <w:r>
        <w:t>Se pueden ajustar flujos y campos, pero no la interacción que el producto ya definió: la forma de trabajar cambia sin que el usuario decida.</w:t>
      </w:r>
      <w:r>
        <w:rPr>
          <w:sz w:val="18"/>
        </w:rPr>
        <w:t xml:space="preserve"> </w:t>
      </w:r>
      <w:hyperlink w:anchor="fuente_18">
        <w:r>
          <w:rPr>
            <w:color w:val="1F3B63"/>
            <w:sz w:val="18"/>
          </w:rPr>
          <w:t>[18]</w:t>
        </w:r>
      </w:hyperlink>
      <w:hyperlink w:anchor="fuente_3">
        <w:r>
          <w:rPr>
            <w:color w:val="1F3B63"/>
            <w:sz w:val="18"/>
          </w:rPr>
          <w:t>[3]</w:t>
        </w:r>
      </w:hyperlink>
      <w:hyperlink w:anchor="fuente_1">
        <w:r>
          <w:rPr>
            <w:color w:val="1F3B63"/>
            <w:sz w:val="18"/>
          </w:rPr>
          <w:t>[1]</w:t>
        </w:r>
      </w:hyperlink>
    </w:p>
    <w:p w14:paraId="68980C41" w14:textId="77777777" w:rsidR="00FF3B0F" w:rsidRDefault="005306D5">
      <w:pPr>
        <w:pStyle w:val="Ttulo3"/>
      </w:pPr>
      <w:r>
        <w:lastRenderedPageBreak/>
        <w:t>4.9.3 Permanencia del conocimiento dentro de la organización</w:t>
      </w:r>
    </w:p>
    <w:p w14:paraId="2C1B09A2" w14:textId="77777777" w:rsidR="00FF3B0F" w:rsidRDefault="005306D5">
      <w:pPr>
        <w:spacing w:after="80"/>
        <w:jc w:val="both"/>
      </w:pPr>
      <w:r>
        <w:rPr>
          <w:i/>
        </w:rPr>
        <w:t>Si el conocimiento del sistema y del proceso queda dentro de la empresa.</w:t>
      </w:r>
    </w:p>
    <w:p w14:paraId="244D5489" w14:textId="77777777" w:rsidR="00FF3B0F" w:rsidRDefault="005306D5">
      <w:pPr>
        <w:spacing w:after="40"/>
        <w:ind w:left="397"/>
        <w:jc w:val="both"/>
      </w:pPr>
      <w:r>
        <w:rPr>
          <w:b/>
        </w:rPr>
        <w:t xml:space="preserve">Propio ●  </w:t>
      </w:r>
      <w:r>
        <w:t>Quien construye es quien después mantiene: el conocimiento no cruza la frontera de la organización. Es una ventaja de grado: ni con equipo propio se conocen del todo los antecedentes de quienes construyen.</w:t>
      </w:r>
      <w:r>
        <w:rPr>
          <w:sz w:val="18"/>
        </w:rPr>
        <w:t xml:space="preserve"> </w:t>
      </w:r>
      <w:hyperlink w:anchor="fuente_26">
        <w:r>
          <w:rPr>
            <w:color w:val="1F3B63"/>
            <w:sz w:val="18"/>
          </w:rPr>
          <w:t>[26]</w:t>
        </w:r>
      </w:hyperlink>
      <w:hyperlink w:anchor="fuente_13">
        <w:r>
          <w:rPr>
            <w:color w:val="1F3B63"/>
            <w:sz w:val="18"/>
          </w:rPr>
          <w:t>[13]</w:t>
        </w:r>
      </w:hyperlink>
    </w:p>
    <w:p w14:paraId="45B0C697" w14:textId="77777777" w:rsidR="00FF3B0F" w:rsidRDefault="005306D5">
      <w:pPr>
        <w:spacing w:after="40"/>
        <w:ind w:left="397"/>
        <w:jc w:val="both"/>
      </w:pPr>
      <w:r>
        <w:rPr>
          <w:b/>
        </w:rPr>
        <w:t xml:space="preserve">Terceros ○  </w:t>
      </w:r>
      <w:r>
        <w:t>El conocimiento se va con el proveedor: en un caso relevado, es difícil que mantenga el sistema alguien que no lo desarrolló.</w:t>
      </w:r>
      <w:r>
        <w:rPr>
          <w:sz w:val="18"/>
        </w:rPr>
        <w:t xml:space="preserve"> </w:t>
      </w:r>
      <w:hyperlink w:anchor="fuente_26">
        <w:r>
          <w:rPr>
            <w:color w:val="1F3B63"/>
            <w:sz w:val="18"/>
          </w:rPr>
          <w:t>[26]</w:t>
        </w:r>
      </w:hyperlink>
      <w:hyperlink w:anchor="fuente_25">
        <w:r>
          <w:rPr>
            <w:color w:val="1F3B63"/>
            <w:sz w:val="18"/>
          </w:rPr>
          <w:t>[25]</w:t>
        </w:r>
      </w:hyperlink>
    </w:p>
    <w:p w14:paraId="29BF58E3" w14:textId="77777777" w:rsidR="00FF3B0F" w:rsidRDefault="005306D5">
      <w:pPr>
        <w:spacing w:after="40"/>
        <w:ind w:left="397"/>
        <w:jc w:val="both"/>
      </w:pPr>
      <w:r>
        <w:rPr>
          <w:b/>
        </w:rPr>
        <w:t xml:space="preserve">Cerrado ○  </w:t>
      </w:r>
      <w:r>
        <w:t>La visibilidad es limitada en extremo: solo se tiene el precio, la lista de funciones, un manual, la licencia y la especificación de la interfaz.</w:t>
      </w:r>
      <w:r>
        <w:rPr>
          <w:sz w:val="18"/>
        </w:rPr>
        <w:t xml:space="preserve"> </w:t>
      </w:r>
      <w:hyperlink w:anchor="fuente_13">
        <w:r>
          <w:rPr>
            <w:color w:val="1F3B63"/>
            <w:sz w:val="18"/>
          </w:rPr>
          <w:t>[13]</w:t>
        </w:r>
      </w:hyperlink>
    </w:p>
    <w:p w14:paraId="2CC1C1A0" w14:textId="77777777" w:rsidR="00FF3B0F" w:rsidRDefault="005306D5">
      <w:pPr>
        <w:spacing w:after="40"/>
        <w:ind w:left="397"/>
        <w:jc w:val="both"/>
      </w:pPr>
      <w:r>
        <w:rPr>
          <w:b/>
        </w:rPr>
        <w:t xml:space="preserve">Parametrizable ○  </w:t>
      </w:r>
      <w:r>
        <w:t>El conocimiento que se acumula es del producto del fabricante, no del sistema, y el núcleo sobre el que se configura tampoco se puede examinar.</w:t>
      </w:r>
      <w:r>
        <w:rPr>
          <w:sz w:val="18"/>
        </w:rPr>
        <w:t xml:space="preserve"> </w:t>
      </w:r>
      <w:hyperlink w:anchor="fuente_13">
        <w:r>
          <w:rPr>
            <w:color w:val="1F3B63"/>
            <w:sz w:val="18"/>
          </w:rPr>
          <w:t>[13]</w:t>
        </w:r>
      </w:hyperlink>
      <w:hyperlink w:anchor="fuente_24">
        <w:r>
          <w:rPr>
            <w:color w:val="1F3B63"/>
            <w:sz w:val="18"/>
          </w:rPr>
          <w:t>[24]</w:t>
        </w:r>
      </w:hyperlink>
    </w:p>
    <w:p w14:paraId="202DE3B4" w14:textId="77777777" w:rsidR="00FF3B0F" w:rsidRDefault="005306D5">
      <w:pPr>
        <w:pStyle w:val="Ttulo3"/>
      </w:pPr>
      <w:r>
        <w:t>4.9.4 Posibilidad de organizar los equipos según la arquitectura buscada</w:t>
      </w:r>
    </w:p>
    <w:p w14:paraId="1B853C4C" w14:textId="77777777" w:rsidR="00FF3B0F" w:rsidRDefault="005306D5">
      <w:pPr>
        <w:spacing w:after="80"/>
        <w:jc w:val="both"/>
      </w:pPr>
      <w:r>
        <w:rPr>
          <w:i/>
        </w:rPr>
        <w:t>Si la organización puede decidir su estructura interna en función del sistema que quiere.</w:t>
      </w:r>
    </w:p>
    <w:p w14:paraId="6166E329" w14:textId="77777777" w:rsidR="00FF3B0F" w:rsidRDefault="005306D5">
      <w:pPr>
        <w:spacing w:after="40"/>
        <w:ind w:left="397"/>
        <w:jc w:val="both"/>
      </w:pPr>
      <w:r>
        <w:rPr>
          <w:b/>
        </w:rPr>
        <w:t xml:space="preserve">Propio ●  </w:t>
      </w:r>
      <w:r>
        <w:t>Permite aplicar deliberadamente la maniobra inversa de Conway: alterar la estructura de los equipos para favorecer la arquitectura buscada.</w:t>
      </w:r>
      <w:r>
        <w:rPr>
          <w:sz w:val="18"/>
        </w:rPr>
        <w:t xml:space="preserve"> </w:t>
      </w:r>
      <w:hyperlink w:anchor="fuente_53">
        <w:r>
          <w:rPr>
            <w:color w:val="1F3B63"/>
            <w:sz w:val="18"/>
          </w:rPr>
          <w:t>[53]</w:t>
        </w:r>
      </w:hyperlink>
      <w:hyperlink w:anchor="fuente_54">
        <w:r>
          <w:rPr>
            <w:color w:val="1F3B63"/>
            <w:sz w:val="18"/>
          </w:rPr>
          <w:t>[54]</w:t>
        </w:r>
      </w:hyperlink>
    </w:p>
    <w:p w14:paraId="43257489" w14:textId="77777777" w:rsidR="00FF3B0F" w:rsidRDefault="005306D5">
      <w:pPr>
        <w:spacing w:after="40"/>
        <w:ind w:left="397"/>
        <w:jc w:val="both"/>
      </w:pPr>
      <w:r>
        <w:rPr>
          <w:b/>
        </w:rPr>
        <w:t xml:space="preserve">Terceros ○  </w:t>
      </w:r>
      <w:r>
        <w:t>La comunicación cruza una frontera contractual, y esa frontera queda impresa en el diseño: las organizaciones producen sistemas que copian sus estructuras de comunicación. Revertirlo exige evolucionar la organización.</w:t>
      </w:r>
      <w:r>
        <w:rPr>
          <w:sz w:val="18"/>
        </w:rPr>
        <w:t xml:space="preserve"> </w:t>
      </w:r>
      <w:hyperlink w:anchor="fuente_54">
        <w:r>
          <w:rPr>
            <w:color w:val="1F3B63"/>
            <w:sz w:val="18"/>
          </w:rPr>
          <w:t>[54]</w:t>
        </w:r>
      </w:hyperlink>
      <w:hyperlink w:anchor="fuente_53">
        <w:r>
          <w:rPr>
            <w:color w:val="1F3B63"/>
            <w:sz w:val="18"/>
          </w:rPr>
          <w:t>[53]</w:t>
        </w:r>
      </w:hyperlink>
    </w:p>
    <w:p w14:paraId="0EF4810B" w14:textId="77777777" w:rsidR="00FF3B0F" w:rsidRDefault="005306D5">
      <w:pPr>
        <w:spacing w:after="40"/>
        <w:ind w:left="397"/>
        <w:jc w:val="both"/>
      </w:pPr>
      <w:r>
        <w:rPr>
          <w:b/>
        </w:rPr>
        <w:t xml:space="preserve">Cerrado ○  </w:t>
      </w:r>
      <w:r>
        <w:t>El sistema llega con la estructura de comunicación de quien lo diseñó, y es la organización que lo adopta la que se acomoda.</w:t>
      </w:r>
      <w:r>
        <w:rPr>
          <w:sz w:val="18"/>
        </w:rPr>
        <w:t xml:space="preserve"> </w:t>
      </w:r>
      <w:hyperlink w:anchor="fuente_54">
        <w:r>
          <w:rPr>
            <w:color w:val="1F3B63"/>
            <w:sz w:val="18"/>
          </w:rPr>
          <w:t>[54]</w:t>
        </w:r>
      </w:hyperlink>
      <w:hyperlink w:anchor="fuente_3">
        <w:r>
          <w:rPr>
            <w:color w:val="1F3B63"/>
            <w:sz w:val="18"/>
          </w:rPr>
          <w:t>[3]</w:t>
        </w:r>
      </w:hyperlink>
    </w:p>
    <w:p w14:paraId="55072B3B" w14:textId="77777777" w:rsidR="00FF3B0F" w:rsidRDefault="005306D5">
      <w:pPr>
        <w:spacing w:after="40"/>
        <w:ind w:left="397"/>
        <w:jc w:val="both"/>
      </w:pPr>
      <w:r>
        <w:rPr>
          <w:b/>
        </w:rPr>
        <w:t xml:space="preserve">Parametrizable ○  </w:t>
      </w:r>
      <w:r>
        <w:t>El modelo de proceso del fabricante termina definiendo cómo se comunican las áreas que lo usan.</w:t>
      </w:r>
      <w:r>
        <w:rPr>
          <w:sz w:val="18"/>
        </w:rPr>
        <w:t xml:space="preserve"> </w:t>
      </w:r>
      <w:hyperlink w:anchor="fuente_54">
        <w:r>
          <w:rPr>
            <w:color w:val="1F3B63"/>
            <w:sz w:val="18"/>
          </w:rPr>
          <w:t>[54]</w:t>
        </w:r>
      </w:hyperlink>
    </w:p>
    <w:p w14:paraId="0F126508" w14:textId="77777777" w:rsidR="00FF3B0F" w:rsidRDefault="005306D5">
      <w:pPr>
        <w:pStyle w:val="Ttulo3"/>
      </w:pPr>
      <w:r>
        <w:t>4.9.5 Especialidad técnica que no hay que formar</w:t>
      </w:r>
    </w:p>
    <w:p w14:paraId="4FBA9B47" w14:textId="77777777" w:rsidR="00FF3B0F" w:rsidRDefault="005306D5">
      <w:pPr>
        <w:spacing w:after="80"/>
        <w:jc w:val="both"/>
      </w:pPr>
      <w:r>
        <w:rPr>
          <w:i/>
        </w:rPr>
        <w:t>Si el conocimiento especializado llega ya formado y deja al equipo propio para otra cosa.</w:t>
      </w:r>
    </w:p>
    <w:p w14:paraId="44E3D58C" w14:textId="77777777" w:rsidR="00FF3B0F" w:rsidRDefault="005306D5">
      <w:pPr>
        <w:spacing w:after="40"/>
        <w:ind w:left="397"/>
        <w:jc w:val="both"/>
      </w:pPr>
      <w:r>
        <w:rPr>
          <w:b/>
        </w:rPr>
        <w:t xml:space="preserve">Propio ○  </w:t>
      </w:r>
      <w:r>
        <w:t>La especialidad hay que tenerla o formarla adentro, y el equipo se ocupa en construir esta función y no otra. Si ejecutarla no distingue a la organización, no hay razón para que consuma al mejor equipo.</w:t>
      </w:r>
      <w:r>
        <w:rPr>
          <w:i/>
        </w:rPr>
        <w:t xml:space="preserve"> [por contraste]</w:t>
      </w:r>
      <w:r>
        <w:rPr>
          <w:sz w:val="18"/>
        </w:rPr>
        <w:t xml:space="preserve"> </w:t>
      </w:r>
      <w:hyperlink w:anchor="fuente_31">
        <w:r>
          <w:rPr>
            <w:color w:val="1F3B63"/>
            <w:sz w:val="18"/>
          </w:rPr>
          <w:t>[31]</w:t>
        </w:r>
      </w:hyperlink>
      <w:hyperlink w:anchor="fuente_1">
        <w:r>
          <w:rPr>
            <w:color w:val="1F3B63"/>
            <w:sz w:val="18"/>
          </w:rPr>
          <w:t>[1]</w:t>
        </w:r>
      </w:hyperlink>
      <w:hyperlink w:anchor="fuente_4">
        <w:r>
          <w:rPr>
            <w:color w:val="1F3B63"/>
            <w:sz w:val="18"/>
          </w:rPr>
          <w:t>[4]</w:t>
        </w:r>
      </w:hyperlink>
    </w:p>
    <w:p w14:paraId="73844521" w14:textId="77777777" w:rsidR="00FF3B0F" w:rsidRDefault="005306D5">
      <w:pPr>
        <w:spacing w:after="40"/>
        <w:ind w:left="397"/>
        <w:jc w:val="both"/>
      </w:pPr>
      <w:r>
        <w:rPr>
          <w:b/>
        </w:rPr>
        <w:t xml:space="preserve">Terceros ●  </w:t>
      </w:r>
      <w:r>
        <w:t>La especialidad la aporta el proveedor y no hay que formarla: acceder a capacidades ya desplazó al ahorro como motivo para contratar, y el 81% de los ejecutivos sostiene así su ciberseguridad.</w:t>
      </w:r>
      <w:r>
        <w:rPr>
          <w:sz w:val="18"/>
        </w:rPr>
        <w:t xml:space="preserve"> </w:t>
      </w:r>
      <w:hyperlink w:anchor="fuente_25">
        <w:r>
          <w:rPr>
            <w:color w:val="1F3B63"/>
            <w:sz w:val="18"/>
          </w:rPr>
          <w:t>[25]</w:t>
        </w:r>
      </w:hyperlink>
    </w:p>
    <w:p w14:paraId="345D0B0F" w14:textId="77777777" w:rsidR="00FF3B0F" w:rsidRDefault="005306D5">
      <w:pPr>
        <w:spacing w:after="40"/>
        <w:ind w:left="397"/>
        <w:jc w:val="both"/>
      </w:pPr>
      <w:r>
        <w:rPr>
          <w:b/>
        </w:rPr>
        <w:t xml:space="preserve">Cerrado ●  </w:t>
      </w:r>
      <w:r>
        <w:t>El producto incorpora la especialidad de quien lo fabrica, y adoptar componentes comerciales da acceso indirecto a profesionales muy calificados sin tener que contratarlos.</w:t>
      </w:r>
      <w:r>
        <w:rPr>
          <w:sz w:val="18"/>
        </w:rPr>
        <w:t xml:space="preserve"> </w:t>
      </w:r>
      <w:hyperlink w:anchor="fuente_31">
        <w:r>
          <w:rPr>
            <w:color w:val="1F3B63"/>
            <w:sz w:val="18"/>
          </w:rPr>
          <w:t>[31]</w:t>
        </w:r>
      </w:hyperlink>
      <w:hyperlink w:anchor="fuente_35">
        <w:r>
          <w:rPr>
            <w:color w:val="1F3B63"/>
            <w:sz w:val="18"/>
          </w:rPr>
          <w:t>[35]</w:t>
        </w:r>
      </w:hyperlink>
    </w:p>
    <w:p w14:paraId="707E12E4" w14:textId="77777777" w:rsidR="00FF3B0F" w:rsidRDefault="005306D5">
      <w:pPr>
        <w:spacing w:after="40"/>
        <w:ind w:left="397"/>
        <w:jc w:val="both"/>
      </w:pPr>
      <w:r>
        <w:rPr>
          <w:b/>
        </w:rPr>
        <w:t xml:space="preserve">Parametrizable ●  </w:t>
      </w:r>
      <w:r>
        <w:t>El núcleo aporta la especialidad del fabricante y parametrizar consume mucho menos que construir, pero exige perfiles formados en el producto.</w:t>
      </w:r>
      <w:r>
        <w:rPr>
          <w:sz w:val="18"/>
        </w:rPr>
        <w:t xml:space="preserve"> </w:t>
      </w:r>
      <w:hyperlink w:anchor="fuente_31">
        <w:r>
          <w:rPr>
            <w:color w:val="1F3B63"/>
            <w:sz w:val="18"/>
          </w:rPr>
          <w:t>[31]</w:t>
        </w:r>
      </w:hyperlink>
      <w:hyperlink w:anchor="fuente_24">
        <w:r>
          <w:rPr>
            <w:color w:val="1F3B63"/>
            <w:sz w:val="18"/>
          </w:rPr>
          <w:t>[24]</w:t>
        </w:r>
      </w:hyperlink>
    </w:p>
    <w:p w14:paraId="2FA7A9DE" w14:textId="77777777" w:rsidR="00FF3B0F" w:rsidRDefault="00FF3B0F">
      <w:pPr>
        <w:sectPr w:rsidR="00FF3B0F">
          <w:footerReference w:type="default" r:id="rId9"/>
          <w:pgSz w:w="11906" w:h="16838"/>
          <w:pgMar w:top="1417" w:right="1417" w:bottom="1417" w:left="1417" w:header="720" w:footer="720" w:gutter="0"/>
          <w:cols w:space="720"/>
          <w:docGrid w:linePitch="360"/>
        </w:sectPr>
      </w:pPr>
    </w:p>
    <w:p w14:paraId="4E2C78FF" w14:textId="77777777" w:rsidR="00FF3B0F" w:rsidRDefault="005306D5">
      <w:pPr>
        <w:pStyle w:val="Ttulo1"/>
      </w:pPr>
      <w:bookmarkStart w:id="14" w:name="_Toc239258727"/>
      <w:r>
        <w:lastRenderedPageBreak/>
        <w:t>5. Riesgos y beneficios por alternativa</w:t>
      </w:r>
      <w:bookmarkEnd w:id="14"/>
    </w:p>
    <w:p w14:paraId="1B2AB631" w14:textId="77777777" w:rsidR="00FF3B0F" w:rsidRDefault="005306D5">
      <w:pPr>
        <w:spacing w:after="200"/>
        <w:jc w:val="both"/>
      </w:pPr>
      <w:r>
        <w:t>Comprar no es la opción barata ni la resignada: es acceder a una inversión que ninguna organización sola puede igualar. Un fabricante declaró en su estado contable auditado 6.514 millones de euros de gasto anual en desarrollo —19,1% de sus ingresos— y 37.590 personas dedicadas; otros dos, 35.562 y 10.300 millones de dólares. Esa inversión se amortiza entre toda la base de clientes. Eso no quiere decir que salga más barato: el precio lo pone el fabricante.</w:t>
      </w:r>
      <w:r>
        <w:rPr>
          <w:sz w:val="18"/>
        </w:rPr>
        <w:t xml:space="preserve"> </w:t>
      </w:r>
      <w:hyperlink w:anchor="fuente_37">
        <w:r>
          <w:rPr>
            <w:color w:val="1F3B63"/>
            <w:sz w:val="18"/>
          </w:rPr>
          <w:t>[37]</w:t>
        </w:r>
      </w:hyperlink>
      <w:hyperlink w:anchor="fuente_38">
        <w:r>
          <w:rPr>
            <w:color w:val="1F3B63"/>
            <w:sz w:val="18"/>
          </w:rPr>
          <w:t>[38]</w:t>
        </w:r>
      </w:hyperlink>
      <w:hyperlink w:anchor="fuente_39">
        <w:r>
          <w:rPr>
            <w:color w:val="1F3B63"/>
            <w:sz w:val="18"/>
          </w:rPr>
          <w:t>[39]</w:t>
        </w:r>
      </w:hyperlink>
    </w:p>
    <w:p w14:paraId="509C2A53" w14:textId="77777777" w:rsidR="00FF3B0F" w:rsidRDefault="005306D5">
      <w:pPr>
        <w:pStyle w:val="Ttulo2"/>
      </w:pPr>
      <w:bookmarkStart w:id="15" w:name="_Toc239258728"/>
      <w:r>
        <w:t>5.1 Desarrollo a medida con recursos propios</w:t>
      </w:r>
      <w:bookmarkEnd w:id="15"/>
    </w:p>
    <w:p w14:paraId="121098A8" w14:textId="77777777" w:rsidR="00FF3B0F" w:rsidRDefault="005306D5">
      <w:pPr>
        <w:spacing w:after="80"/>
        <w:jc w:val="both"/>
      </w:pPr>
      <w:r>
        <w:t>Ningún competidor puede comprar el mismo sistema. Es la única vía que lo consigue, y sirve para la función que la organización hace mejor que los demás; para el resto, el argumento no corre.</w:t>
      </w:r>
      <w:r>
        <w:rPr>
          <w:sz w:val="18"/>
        </w:rPr>
        <w:t xml:space="preserve"> </w:t>
      </w:r>
      <w:hyperlink w:anchor="fuente_14">
        <w:r>
          <w:rPr>
            <w:color w:val="1F3B63"/>
            <w:sz w:val="18"/>
          </w:rPr>
          <w:t>[14]</w:t>
        </w:r>
      </w:hyperlink>
      <w:hyperlink w:anchor="fuente_1">
        <w:r>
          <w:rPr>
            <w:color w:val="1F3B63"/>
            <w:sz w:val="18"/>
          </w:rPr>
          <w:t>[1]</w:t>
        </w:r>
      </w:hyperlink>
    </w:p>
    <w:p w14:paraId="21BD2B17" w14:textId="77777777" w:rsidR="00FF3B0F" w:rsidRDefault="005306D5">
      <w:pPr>
        <w:spacing w:after="200"/>
        <w:jc w:val="both"/>
      </w:pPr>
      <w:r>
        <w:t>El riesgo dominante es la escala: 16,2% de éxito general y 9% en empresas grandes, donde además el 61,5% de los proyectos tiene problemas. El segundo riesgo es menos visible: el conocimiento queda concentrado en pocas personas, y el 56% de los ejecutivos no cree que su organización tenga los mecanismos adecuados para retener a sus empleados.</w:t>
      </w:r>
      <w:r>
        <w:rPr>
          <w:sz w:val="18"/>
        </w:rPr>
        <w:t xml:space="preserve"> </w:t>
      </w:r>
      <w:hyperlink w:anchor="fuente_4">
        <w:r>
          <w:rPr>
            <w:color w:val="1F3B63"/>
            <w:sz w:val="18"/>
          </w:rPr>
          <w:t>[4]</w:t>
        </w:r>
      </w:hyperlink>
      <w:hyperlink w:anchor="fuente_25">
        <w:r>
          <w:rPr>
            <w:color w:val="1F3B63"/>
            <w:sz w:val="18"/>
          </w:rPr>
          <w:t>[25]</w:t>
        </w:r>
      </w:hyperlink>
    </w:p>
    <w:p w14:paraId="712AE4D3" w14:textId="77777777" w:rsidR="00FF3B0F" w:rsidRDefault="005306D5">
      <w:pPr>
        <w:pStyle w:val="Ttulo2"/>
      </w:pPr>
      <w:bookmarkStart w:id="16" w:name="_Toc239258729"/>
      <w:r>
        <w:t>5.2 Desarrollo a medida con terceros</w:t>
      </w:r>
      <w:bookmarkEnd w:id="16"/>
    </w:p>
    <w:p w14:paraId="159959D5" w14:textId="77777777" w:rsidR="00FF3B0F" w:rsidRDefault="005306D5">
      <w:pPr>
        <w:spacing w:after="80"/>
        <w:jc w:val="both"/>
      </w:pPr>
      <w:r>
        <w:t>Acceso inmediato a capacidades que la organización no tiene, que hoy es el motivo dominante para tercerizar por encima de la reducción de costos, y una arquitectura determinada sin tener que rediseñar la estructura interna.</w:t>
      </w:r>
      <w:r>
        <w:rPr>
          <w:sz w:val="18"/>
        </w:rPr>
        <w:t xml:space="preserve"> </w:t>
      </w:r>
      <w:hyperlink w:anchor="fuente_25">
        <w:r>
          <w:rPr>
            <w:color w:val="1F3B63"/>
            <w:sz w:val="18"/>
          </w:rPr>
          <w:t>[25]</w:t>
        </w:r>
      </w:hyperlink>
      <w:hyperlink w:anchor="fuente_53">
        <w:r>
          <w:rPr>
            <w:color w:val="1F3B63"/>
            <w:sz w:val="18"/>
          </w:rPr>
          <w:t>[53]</w:t>
        </w:r>
      </w:hyperlink>
    </w:p>
    <w:p w14:paraId="3717F880" w14:textId="77777777" w:rsidR="00FF3B0F" w:rsidRDefault="005306D5">
      <w:pPr>
        <w:spacing w:after="200"/>
        <w:jc w:val="both"/>
      </w:pPr>
      <w:r>
        <w:t>El conocimiento se queda fuera de la organización y la frontera contractual queda impresa en el diseño del sistema. Y si el contrato prevé que el proveedor reciba datos personales, se configura una cesión y el cedente responde solidariamente por el cumplimiento del cesionario.</w:t>
      </w:r>
      <w:r>
        <w:rPr>
          <w:sz w:val="18"/>
        </w:rPr>
        <w:t xml:space="preserve"> </w:t>
      </w:r>
      <w:hyperlink w:anchor="fuente_20">
        <w:r>
          <w:rPr>
            <w:color w:val="1F3B63"/>
            <w:sz w:val="18"/>
          </w:rPr>
          <w:t>[20]</w:t>
        </w:r>
      </w:hyperlink>
      <w:hyperlink w:anchor="fuente_54">
        <w:r>
          <w:rPr>
            <w:color w:val="1F3B63"/>
            <w:sz w:val="18"/>
          </w:rPr>
          <w:t>[54]</w:t>
        </w:r>
      </w:hyperlink>
      <w:hyperlink w:anchor="fuente_8">
        <w:r>
          <w:rPr>
            <w:color w:val="1F3B63"/>
            <w:sz w:val="18"/>
          </w:rPr>
          <w:t>[8]</w:t>
        </w:r>
      </w:hyperlink>
    </w:p>
    <w:p w14:paraId="2DA52237" w14:textId="77777777" w:rsidR="00FF3B0F" w:rsidRDefault="005306D5">
      <w:pPr>
        <w:pStyle w:val="Ttulo2"/>
      </w:pPr>
      <w:bookmarkStart w:id="17" w:name="_Toc239258730"/>
      <w:r>
        <w:t>5.3 Compra de software de terceros fijo (enlatado)</w:t>
      </w:r>
      <w:bookmarkEnd w:id="17"/>
    </w:p>
    <w:p w14:paraId="331E580C" w14:textId="77777777" w:rsidR="00FF3B0F" w:rsidRDefault="005306D5">
      <w:pPr>
        <w:spacing w:after="80"/>
        <w:jc w:val="both"/>
      </w:pPr>
      <w:r>
        <w:t>El menor riesgo de ejecución de las cuatro: el producto existe y se evalúa antes de comprometerse. Para funciones que no diferencian, es la vía indicada y la recomendación es adaptar el proceso al software.</w:t>
      </w:r>
      <w:r>
        <w:rPr>
          <w:sz w:val="18"/>
        </w:rPr>
        <w:t xml:space="preserve"> </w:t>
      </w:r>
      <w:hyperlink w:anchor="fuente_1">
        <w:r>
          <w:rPr>
            <w:color w:val="1F3B63"/>
            <w:sz w:val="18"/>
          </w:rPr>
          <w:t>[1]</w:t>
        </w:r>
      </w:hyperlink>
    </w:p>
    <w:p w14:paraId="2E248373" w14:textId="77777777" w:rsidR="00FF3B0F" w:rsidRDefault="005306D5">
      <w:pPr>
        <w:spacing w:after="200"/>
        <w:jc w:val="both"/>
      </w:pPr>
      <w:r>
        <w:t>El desajuste. Para una función estratégica equivale a renunciar a competir, y las obligaciones legales no se trasladan: la accesibilidad sigue siendo exigible aunque el nivel alcanzable lo defina el fabricante, y las medidas de seguridad sobre los datos siguen a cargo del responsable de la base.</w:t>
      </w:r>
      <w:r>
        <w:rPr>
          <w:sz w:val="18"/>
        </w:rPr>
        <w:t xml:space="preserve"> </w:t>
      </w:r>
      <w:hyperlink w:anchor="fuente_1">
        <w:r>
          <w:rPr>
            <w:color w:val="1F3B63"/>
            <w:sz w:val="18"/>
          </w:rPr>
          <w:t>[1]</w:t>
        </w:r>
      </w:hyperlink>
      <w:hyperlink w:anchor="fuente_9">
        <w:r>
          <w:rPr>
            <w:color w:val="1F3B63"/>
            <w:sz w:val="18"/>
          </w:rPr>
          <w:t>[9]</w:t>
        </w:r>
      </w:hyperlink>
      <w:hyperlink w:anchor="fuente_8">
        <w:r>
          <w:rPr>
            <w:color w:val="1F3B63"/>
            <w:sz w:val="18"/>
          </w:rPr>
          <w:t>[8]</w:t>
        </w:r>
      </w:hyperlink>
    </w:p>
    <w:p w14:paraId="49D3AA5E" w14:textId="77777777" w:rsidR="00FF3B0F" w:rsidRDefault="005306D5">
      <w:pPr>
        <w:pStyle w:val="Ttulo2"/>
      </w:pPr>
      <w:bookmarkStart w:id="18" w:name="_Toc239258731"/>
      <w:r>
        <w:t>5.4 Compra de software de terceros parametrizable</w:t>
      </w:r>
      <w:bookmarkEnd w:id="18"/>
    </w:p>
    <w:p w14:paraId="583BBEF3" w14:textId="77777777" w:rsidR="00FF3B0F" w:rsidRDefault="005306D5">
      <w:pPr>
        <w:spacing w:after="80"/>
        <w:jc w:val="both"/>
      </w:pPr>
      <w:r>
        <w:t>Cubre la mayor parte de los requerimientos por configuración y deja la evolución del núcleo en manos del fabricante. Sirve mientras el alcance esté deliberadamente acotado, sea con una plataforma interna o limitando el producto a tareas simples.</w:t>
      </w:r>
      <w:r>
        <w:rPr>
          <w:sz w:val="18"/>
        </w:rPr>
        <w:t xml:space="preserve"> </w:t>
      </w:r>
      <w:hyperlink w:anchor="fuente_27">
        <w:r>
          <w:rPr>
            <w:color w:val="1F3B63"/>
            <w:sz w:val="18"/>
          </w:rPr>
          <w:t>[27]</w:t>
        </w:r>
      </w:hyperlink>
    </w:p>
    <w:p w14:paraId="07195236" w14:textId="77777777" w:rsidR="00FF3B0F" w:rsidRDefault="005306D5">
      <w:pPr>
        <w:spacing w:after="200"/>
        <w:jc w:val="both"/>
      </w:pPr>
      <w:r>
        <w:t>La personalización progresiva: estas plataformas tienden a escaparse de sus límites, cada extensión suma deuda que por definición no se ve, y mantenerlas al día cuesta bastante más de lo estimado. El caso Lidl muestra el desenlace: siete años y unos 580 millones de dólares para que el producto replicara los procesos propios.</w:t>
      </w:r>
      <w:r>
        <w:rPr>
          <w:sz w:val="18"/>
        </w:rPr>
        <w:t xml:space="preserve"> </w:t>
      </w:r>
      <w:hyperlink w:anchor="fuente_6">
        <w:r>
          <w:rPr>
            <w:color w:val="1F3B63"/>
            <w:sz w:val="18"/>
          </w:rPr>
          <w:t>[6]</w:t>
        </w:r>
      </w:hyperlink>
      <w:hyperlink w:anchor="fuente_27">
        <w:r>
          <w:rPr>
            <w:color w:val="1F3B63"/>
            <w:sz w:val="18"/>
          </w:rPr>
          <w:t>[27]</w:t>
        </w:r>
      </w:hyperlink>
      <w:hyperlink w:anchor="fuente_11">
        <w:r>
          <w:rPr>
            <w:color w:val="1F3B63"/>
            <w:sz w:val="18"/>
          </w:rPr>
          <w:t>[11]</w:t>
        </w:r>
      </w:hyperlink>
      <w:hyperlink w:anchor="fuente_7">
        <w:r>
          <w:rPr>
            <w:color w:val="1F3B63"/>
            <w:sz w:val="18"/>
          </w:rPr>
          <w:t>[7]</w:t>
        </w:r>
      </w:hyperlink>
    </w:p>
    <w:p w14:paraId="7173A49A" w14:textId="77777777" w:rsidR="00FF3B0F" w:rsidRDefault="005306D5">
      <w:pPr>
        <w:pStyle w:val="Ttulo1"/>
      </w:pPr>
      <w:bookmarkStart w:id="19" w:name="_Toc239258732"/>
      <w:r>
        <w:lastRenderedPageBreak/>
        <w:t>6. Conclusiones y marco de decisión</w:t>
      </w:r>
      <w:bookmarkEnd w:id="19"/>
    </w:p>
    <w:p w14:paraId="7C7E909E" w14:textId="77777777" w:rsidR="00FF3B0F" w:rsidRDefault="005306D5">
      <w:pPr>
        <w:spacing w:after="200"/>
        <w:jc w:val="both"/>
      </w:pPr>
      <w:r>
        <w:t>Qué se concluye después de haber visto la evidencia, y cómo aplicarlo: las preguntas que ordenan la elección y lo que conviene tener resuelto antes de pedir propuestas, cualquiera sea la vía que se elija.</w:t>
      </w:r>
    </w:p>
    <w:p w14:paraId="1E7EF42A" w14:textId="77777777" w:rsidR="00FF3B0F" w:rsidRDefault="005306D5">
      <w:pPr>
        <w:pStyle w:val="Ttulo2"/>
      </w:pPr>
      <w:bookmarkStart w:id="20" w:name="_Toc239258733"/>
      <w:r>
        <w:t>6.1 Conclusiones</w:t>
      </w:r>
      <w:bookmarkEnd w:id="20"/>
    </w:p>
    <w:p w14:paraId="07699EFE" w14:textId="77777777" w:rsidR="00FF3B0F" w:rsidRDefault="005306D5">
      <w:pPr>
        <w:pStyle w:val="Listaconvietas"/>
        <w:spacing w:after="160"/>
        <w:jc w:val="both"/>
      </w:pPr>
      <w:r>
        <w:t>No hay una respuesta general sino una por función de negocio, y la primera pregunta es si esa función diferencia a la organización. Lo que diferencia se construye; lo que no —la mayoría— se compra, y adaptar el proceso al producto es parte de la decisión, no una concesión.</w:t>
      </w:r>
      <w:r>
        <w:rPr>
          <w:sz w:val="18"/>
        </w:rPr>
        <w:t xml:space="preserve"> </w:t>
      </w:r>
      <w:hyperlink w:anchor="fuente_1">
        <w:r>
          <w:rPr>
            <w:color w:val="1F3B63"/>
            <w:sz w:val="18"/>
          </w:rPr>
          <w:t>[1]</w:t>
        </w:r>
      </w:hyperlink>
      <w:hyperlink w:anchor="fuente_14">
        <w:r>
          <w:rPr>
            <w:color w:val="1F3B63"/>
            <w:sz w:val="18"/>
          </w:rPr>
          <w:t>[14]</w:t>
        </w:r>
      </w:hyperlink>
    </w:p>
    <w:p w14:paraId="7A051E6F" w14:textId="77777777" w:rsidR="00FF3B0F" w:rsidRDefault="005306D5">
      <w:pPr>
        <w:pStyle w:val="Listaconvietas"/>
        <w:spacing w:after="160"/>
        <w:jc w:val="both"/>
      </w:pPr>
      <w:r>
        <w:t>Para las funciones estratégicas, comprar equivale a renunciar a la diferenciación: el competidor accede al mismo producto. Corresponde construir, con equipo propio si existe o contratado si no, sabiendo que en el segundo caso el conocimiento se queda afuera y cuesta recuperarlo.</w:t>
      </w:r>
      <w:r>
        <w:rPr>
          <w:sz w:val="18"/>
        </w:rPr>
        <w:t xml:space="preserve"> </w:t>
      </w:r>
      <w:hyperlink w:anchor="fuente_1">
        <w:r>
          <w:rPr>
            <w:color w:val="1F3B63"/>
            <w:sz w:val="18"/>
          </w:rPr>
          <w:t>[1]</w:t>
        </w:r>
      </w:hyperlink>
      <w:hyperlink w:anchor="fuente_26">
        <w:r>
          <w:rPr>
            <w:color w:val="1F3B63"/>
            <w:sz w:val="18"/>
          </w:rPr>
          <w:t>[26]</w:t>
        </w:r>
      </w:hyperlink>
    </w:p>
    <w:p w14:paraId="316D6FF4" w14:textId="77777777" w:rsidR="00FF3B0F" w:rsidRDefault="005306D5">
      <w:pPr>
        <w:pStyle w:val="Listaconvietas"/>
        <w:spacing w:after="160"/>
        <w:jc w:val="both"/>
      </w:pPr>
      <w:r>
        <w:t>El error más caro no es comprar sino personalizar en exceso lo comprado. Los entornos de paquete son una plataforma pobre para desarrollar, mantenerlos al día cuesta más de lo estimado, y el intento de que el producto replicara los procesos propios está en el origen de abandonos de gran escala.</w:t>
      </w:r>
      <w:r>
        <w:rPr>
          <w:sz w:val="18"/>
        </w:rPr>
        <w:t xml:space="preserve"> </w:t>
      </w:r>
      <w:hyperlink w:anchor="fuente_6">
        <w:r>
          <w:rPr>
            <w:color w:val="1F3B63"/>
            <w:sz w:val="18"/>
          </w:rPr>
          <w:t>[6]</w:t>
        </w:r>
      </w:hyperlink>
      <w:hyperlink w:anchor="fuente_7">
        <w:r>
          <w:rPr>
            <w:color w:val="1F3B63"/>
            <w:sz w:val="18"/>
          </w:rPr>
          <w:t>[7]</w:t>
        </w:r>
      </w:hyperlink>
    </w:p>
    <w:p w14:paraId="4E6C9F35" w14:textId="77777777" w:rsidR="00FF3B0F" w:rsidRDefault="005306D5">
      <w:pPr>
        <w:pStyle w:val="Listaconvietas"/>
        <w:spacing w:after="160"/>
        <w:jc w:val="both"/>
      </w:pPr>
      <w:r>
        <w:t>El riesgo de ejecución lo gobierna sobre todo el tamaño del proyecto. Sobre 1.471 proyectos, uno de cada seis se desvió 200% en costo y casi 70% en plazo; en el relevamiento de Standish la tasa de éxito fue del 16,2%, y del 9% en empresas grandes. Las dos fuentes recomiendan lo mismo: dividir en entregas chicas. Es la medida que más mueve el resultado, más que elegir entre las cuatro alternativas.</w:t>
      </w:r>
      <w:r>
        <w:rPr>
          <w:sz w:val="18"/>
        </w:rPr>
        <w:t xml:space="preserve"> </w:t>
      </w:r>
      <w:hyperlink w:anchor="fuente_5">
        <w:r>
          <w:rPr>
            <w:color w:val="1F3B63"/>
            <w:sz w:val="18"/>
          </w:rPr>
          <w:t>[5]</w:t>
        </w:r>
      </w:hyperlink>
      <w:hyperlink w:anchor="fuente_4">
        <w:r>
          <w:rPr>
            <w:color w:val="1F3B63"/>
            <w:sz w:val="18"/>
          </w:rPr>
          <w:t>[4]</w:t>
        </w:r>
      </w:hyperlink>
    </w:p>
    <w:p w14:paraId="38249D9B" w14:textId="77777777" w:rsidR="00FF3B0F" w:rsidRDefault="005306D5">
      <w:pPr>
        <w:pStyle w:val="Listaconvietas"/>
        <w:spacing w:after="160"/>
        <w:jc w:val="both"/>
      </w:pPr>
      <w:r>
        <w:t>Lo que define el resultado rara vez entra en la decisión inicial: la responsabilidad solidaria que se activa al ceder datos personales, el nivel de accesibilidad alcanzable, la fecha de fin de soporte, la deuda técnica que no se ve dentro de un producto ajeno y el costo de salida. Corresponde incorporarlas a los criterios de evaluación antes de pedir propuestas.</w:t>
      </w:r>
      <w:r>
        <w:rPr>
          <w:sz w:val="18"/>
        </w:rPr>
        <w:t xml:space="preserve"> </w:t>
      </w:r>
      <w:hyperlink w:anchor="fuente_8">
        <w:r>
          <w:rPr>
            <w:color w:val="1F3B63"/>
            <w:sz w:val="18"/>
          </w:rPr>
          <w:t>[8]</w:t>
        </w:r>
      </w:hyperlink>
      <w:hyperlink w:anchor="fuente_9">
        <w:r>
          <w:rPr>
            <w:color w:val="1F3B63"/>
            <w:sz w:val="18"/>
          </w:rPr>
          <w:t>[9]</w:t>
        </w:r>
      </w:hyperlink>
      <w:hyperlink w:anchor="fuente_10">
        <w:r>
          <w:rPr>
            <w:color w:val="1F3B63"/>
            <w:sz w:val="18"/>
          </w:rPr>
          <w:t>[10]</w:t>
        </w:r>
      </w:hyperlink>
      <w:hyperlink w:anchor="fuente_11">
        <w:r>
          <w:rPr>
            <w:color w:val="1F3B63"/>
            <w:sz w:val="18"/>
          </w:rPr>
          <w:t>[11]</w:t>
        </w:r>
      </w:hyperlink>
      <w:hyperlink w:anchor="fuente_3">
        <w:r>
          <w:rPr>
            <w:color w:val="1F3B63"/>
            <w:sz w:val="18"/>
          </w:rPr>
          <w:t>[3]</w:t>
        </w:r>
      </w:hyperlink>
    </w:p>
    <w:p w14:paraId="6FBF059E" w14:textId="77777777" w:rsidR="00FF3B0F" w:rsidRDefault="005306D5">
      <w:pPr>
        <w:pStyle w:val="Ttulo2"/>
      </w:pPr>
      <w:bookmarkStart w:id="21" w:name="_Toc239258734"/>
      <w:r>
        <w:t>6.2 Esquema de decisión</w:t>
      </w:r>
      <w:bookmarkEnd w:id="21"/>
    </w:p>
    <w:p w14:paraId="0E477517" w14:textId="77777777" w:rsidR="00FF3B0F" w:rsidRDefault="005306D5">
      <w:pPr>
        <w:spacing w:after="200"/>
        <w:jc w:val="both"/>
      </w:pPr>
      <w:r>
        <w:t>Se responden en este orden, y la primera es la que más decide. Cada una remite a su número en la sección 4; las categorías que no eligen la vía están en la lista siguiente.</w:t>
      </w:r>
    </w:p>
    <w:p w14:paraId="66639C0A" w14:textId="77777777" w:rsidR="00FF3B0F" w:rsidRDefault="005306D5">
      <w:pPr>
        <w:spacing w:after="160"/>
        <w:jc w:val="both"/>
      </w:pPr>
      <w:r>
        <w:rPr>
          <w:b/>
        </w:rPr>
        <w:t xml:space="preserve">1. ¿La función diferencia a la organización? </w:t>
      </w:r>
      <w:r>
        <w:t>Si el modo de ejecutarla es parte de lo que la organización hace mejor que sus competidores, el software que la soporta se construye: comprarlo entrega al competidor la misma capacidad.</w:t>
      </w:r>
      <w:r>
        <w:rPr>
          <w:sz w:val="18"/>
        </w:rPr>
        <w:t xml:space="preserve"> </w:t>
      </w:r>
      <w:hyperlink w:anchor="fuente_1">
        <w:r>
          <w:rPr>
            <w:color w:val="1F3B63"/>
            <w:sz w:val="18"/>
          </w:rPr>
          <w:t>[1]</w:t>
        </w:r>
      </w:hyperlink>
      <w:r>
        <w:rPr>
          <w:i/>
        </w:rPr>
        <w:t xml:space="preserve">  Se desarrolla en 4.1.1 y 4.1.3.</w:t>
      </w:r>
    </w:p>
    <w:p w14:paraId="16661DAD" w14:textId="77777777" w:rsidR="00FF3B0F" w:rsidRDefault="005306D5">
      <w:pPr>
        <w:spacing w:after="160"/>
        <w:jc w:val="both"/>
      </w:pPr>
      <w:r>
        <w:rPr>
          <w:b/>
        </w:rPr>
        <w:t xml:space="preserve">2. ¿El proceso es estándar en el rubro? </w:t>
      </w:r>
      <w:r>
        <w:t>Cuando lo es, el producto trae las prácticas que otras del sector ya depuraron y comprarlo es el camino corto, no una renuncia: alinear el proceso al software es crítico, con personalización mínima.</w:t>
      </w:r>
      <w:r>
        <w:rPr>
          <w:sz w:val="18"/>
        </w:rPr>
        <w:t xml:space="preserve"> </w:t>
      </w:r>
      <w:hyperlink w:anchor="fuente_21">
        <w:r>
          <w:rPr>
            <w:color w:val="1F3B63"/>
            <w:sz w:val="18"/>
          </w:rPr>
          <w:t>[21]</w:t>
        </w:r>
      </w:hyperlink>
      <w:hyperlink w:anchor="fuente_23">
        <w:r>
          <w:rPr>
            <w:color w:val="1F3B63"/>
            <w:sz w:val="18"/>
          </w:rPr>
          <w:t>[23]</w:t>
        </w:r>
      </w:hyperlink>
      <w:hyperlink w:anchor="fuente_1">
        <w:r>
          <w:rPr>
            <w:color w:val="1F3B63"/>
            <w:sz w:val="18"/>
          </w:rPr>
          <w:t>[1]</w:t>
        </w:r>
      </w:hyperlink>
      <w:r>
        <w:rPr>
          <w:i/>
        </w:rPr>
        <w:t xml:space="preserve">  Se desarrolla en 4.1.2 y 4.1.3.</w:t>
      </w:r>
    </w:p>
    <w:p w14:paraId="668D3ADB" w14:textId="77777777" w:rsidR="00FF3B0F" w:rsidRDefault="005306D5">
      <w:pPr>
        <w:spacing w:after="160"/>
        <w:jc w:val="both"/>
      </w:pPr>
      <w:r>
        <w:rPr>
          <w:b/>
        </w:rPr>
        <w:t xml:space="preserve">3. ¿Existe el equipo, y se acepta la estructura que implica? </w:t>
      </w:r>
      <w:r>
        <w:t>Si la función diferencia, la pregunta siguiente es si hay con qué construirla. La decisión no es solo de capacidad: la estructura de comunicación que se elija queda impresa en la arquitectura del sistema, y conviene organizarla a propósito.</w:t>
      </w:r>
      <w:r>
        <w:rPr>
          <w:sz w:val="18"/>
        </w:rPr>
        <w:t xml:space="preserve"> </w:t>
      </w:r>
      <w:hyperlink w:anchor="fuente_54">
        <w:r>
          <w:rPr>
            <w:color w:val="1F3B63"/>
            <w:sz w:val="18"/>
          </w:rPr>
          <w:t>[54]</w:t>
        </w:r>
      </w:hyperlink>
      <w:hyperlink w:anchor="fuente_53">
        <w:r>
          <w:rPr>
            <w:color w:val="1F3B63"/>
            <w:sz w:val="18"/>
          </w:rPr>
          <w:t>[53]</w:t>
        </w:r>
      </w:hyperlink>
      <w:r>
        <w:rPr>
          <w:i/>
        </w:rPr>
        <w:t xml:space="preserve">  Se desarrolla en 4.9.3, 4.9.4 y 4.9.5.</w:t>
      </w:r>
    </w:p>
    <w:p w14:paraId="5317C890" w14:textId="77777777" w:rsidR="00FF3B0F" w:rsidRDefault="005306D5">
      <w:pPr>
        <w:spacing w:after="160"/>
        <w:jc w:val="both"/>
      </w:pPr>
      <w:r>
        <w:rPr>
          <w:b/>
        </w:rPr>
        <w:t xml:space="preserve">4. ¿Hay usuarios con tiempo asignado y poder para decidir? </w:t>
      </w:r>
      <w:r>
        <w:t xml:space="preserve">Construir exige del usuario el esfuerzo de hacerse entender, que comprar no exige. Su involucramiento es el primer factor de éxito según los propios responsables de sistemas, y su ausencia la segunda causa de cancelación: sin tiempo </w:t>
      </w:r>
      <w:r>
        <w:lastRenderedPageBreak/>
        <w:t>presupuestado y sin autoridad para cerrar definiciones, la ventaja de construir a medida no se realiza.</w:t>
      </w:r>
      <w:r>
        <w:rPr>
          <w:sz w:val="18"/>
        </w:rPr>
        <w:t xml:space="preserve"> </w:t>
      </w:r>
      <w:hyperlink w:anchor="fuente_4">
        <w:r>
          <w:rPr>
            <w:color w:val="1F3B63"/>
            <w:sz w:val="18"/>
          </w:rPr>
          <w:t>[4]</w:t>
        </w:r>
      </w:hyperlink>
      <w:r>
        <w:rPr>
          <w:i/>
        </w:rPr>
        <w:t xml:space="preserve">  Se desarrolla en 4.9.1 y 4.9.2.</w:t>
      </w:r>
    </w:p>
    <w:p w14:paraId="52761075" w14:textId="77777777" w:rsidR="00FF3B0F" w:rsidRDefault="005306D5">
      <w:pPr>
        <w:spacing w:after="160"/>
        <w:jc w:val="both"/>
      </w:pPr>
      <w:r>
        <w:rPr>
          <w:b/>
        </w:rPr>
        <w:t xml:space="preserve">5. ¿Qué tamaño tiene la organización y qué tamaño tendría el proyecto? </w:t>
      </w:r>
      <w:r>
        <w:t>A una organización chica no le conviene desarrollar salvo que la función sea propia de su negocio, y los paquetes estándar pueden imponerle estructuras rígidas. Sea cual sea la vía, el tamaño del proyecto predice el fracaso mejor que la tecnología.</w:t>
      </w:r>
      <w:r>
        <w:rPr>
          <w:sz w:val="18"/>
        </w:rPr>
        <w:t xml:space="preserve"> </w:t>
      </w:r>
      <w:hyperlink w:anchor="fuente_2">
        <w:r>
          <w:rPr>
            <w:color w:val="1F3B63"/>
            <w:sz w:val="18"/>
          </w:rPr>
          <w:t>[2]</w:t>
        </w:r>
      </w:hyperlink>
      <w:hyperlink w:anchor="fuente_4">
        <w:r>
          <w:rPr>
            <w:color w:val="1F3B63"/>
            <w:sz w:val="18"/>
          </w:rPr>
          <w:t>[4]</w:t>
        </w:r>
      </w:hyperlink>
      <w:r>
        <w:rPr>
          <w:i/>
        </w:rPr>
        <w:t xml:space="preserve">  Se desarrolla en 4.2.1, 4.3.1 y 4.3.2.</w:t>
      </w:r>
    </w:p>
    <w:p w14:paraId="166231AC" w14:textId="77777777" w:rsidR="00FF3B0F" w:rsidRDefault="005306D5">
      <w:pPr>
        <w:pStyle w:val="Ttulo2"/>
      </w:pPr>
      <w:bookmarkStart w:id="22" w:name="_Toc239258735"/>
      <w:r>
        <w:t>6.3 Antes de pedir propuestas</w:t>
      </w:r>
      <w:bookmarkEnd w:id="22"/>
    </w:p>
    <w:p w14:paraId="50184CCE" w14:textId="77777777" w:rsidR="00FF3B0F" w:rsidRDefault="005306D5">
      <w:pPr>
        <w:spacing w:after="200"/>
        <w:jc w:val="both"/>
      </w:pPr>
      <w:r>
        <w:t>Estos puntos valen para cualquier alternativa, y van agrupados por cuándo hay que resolverlos.</w:t>
      </w:r>
    </w:p>
    <w:p w14:paraId="4F4752F3" w14:textId="77777777" w:rsidR="00FF3B0F" w:rsidRDefault="005306D5">
      <w:pPr>
        <w:spacing w:before="160"/>
        <w:jc w:val="both"/>
      </w:pPr>
      <w:r>
        <w:rPr>
          <w:b/>
        </w:rPr>
        <w:t xml:space="preserve">Lo que hay que resolver antes de comparar. </w:t>
      </w:r>
      <w:r>
        <w:rPr>
          <w:i/>
        </w:rPr>
        <w:t>Una alternativa que no cumple no compite peor: sale. Y sin requerimientos escritos no hay con qué medirlas.</w:t>
      </w:r>
    </w:p>
    <w:p w14:paraId="7E46257E" w14:textId="77777777" w:rsidR="00FF3B0F" w:rsidRDefault="005306D5">
      <w:pPr>
        <w:spacing w:after="160"/>
        <w:ind w:left="227"/>
        <w:jc w:val="both"/>
      </w:pPr>
      <w:r>
        <w:rPr>
          <w:b/>
        </w:rPr>
        <w:t xml:space="preserve">1. Revisar el marco legal antes que el técnico. </w:t>
      </w:r>
      <w:r>
        <w:t>Proteger los datos personales es obligación de la organización que los tiene a cargo y no se transfiere: si se los cede a un tercero, ese tercero queda sujeto a lo mismo y la organización sigue respondiendo junto con él. Y en el Estado, sus concesionarias y sus contratistas, la accesibilidad es obligatoria. Las dos condiciones dejan proveedores afuera y fijan cláusulas que no se negocian.</w:t>
      </w:r>
      <w:r>
        <w:rPr>
          <w:sz w:val="18"/>
        </w:rPr>
        <w:t xml:space="preserve"> </w:t>
      </w:r>
      <w:hyperlink w:anchor="fuente_8">
        <w:r>
          <w:rPr>
            <w:color w:val="1F3B63"/>
            <w:sz w:val="18"/>
          </w:rPr>
          <w:t>[8]</w:t>
        </w:r>
      </w:hyperlink>
      <w:hyperlink w:anchor="fuente_9">
        <w:r>
          <w:rPr>
            <w:color w:val="1F3B63"/>
            <w:sz w:val="18"/>
          </w:rPr>
          <w:t>[9]</w:t>
        </w:r>
      </w:hyperlink>
    </w:p>
    <w:p w14:paraId="64193E38" w14:textId="77777777" w:rsidR="00FF3B0F" w:rsidRDefault="005306D5">
      <w:pPr>
        <w:spacing w:after="160"/>
        <w:ind w:left="227"/>
        <w:jc w:val="both"/>
      </w:pPr>
      <w:r>
        <w:rPr>
          <w:b/>
        </w:rPr>
        <w:t xml:space="preserve">2. Exigir prácticas de desarrollo seguro y transparencia de componentes. </w:t>
      </w:r>
      <w:r>
        <w:t>El marco de desarrollo seguro está pensado también para quien compra: permite expresar requisitos verificables al proveedor y trasladarlos a todo tercero que aporte componentes. El inventario de componentes complementa ese pedido.</w:t>
      </w:r>
      <w:r>
        <w:rPr>
          <w:sz w:val="18"/>
        </w:rPr>
        <w:t xml:space="preserve"> </w:t>
      </w:r>
      <w:hyperlink w:anchor="fuente_36">
        <w:r>
          <w:rPr>
            <w:color w:val="1F3B63"/>
            <w:sz w:val="18"/>
          </w:rPr>
          <w:t>[36]</w:t>
        </w:r>
      </w:hyperlink>
      <w:hyperlink w:anchor="fuente_49">
        <w:r>
          <w:rPr>
            <w:color w:val="1F3B63"/>
            <w:sz w:val="18"/>
          </w:rPr>
          <w:t>[49]</w:t>
        </w:r>
      </w:hyperlink>
    </w:p>
    <w:p w14:paraId="3774D677" w14:textId="77777777" w:rsidR="00FF3B0F" w:rsidRDefault="005306D5">
      <w:pPr>
        <w:spacing w:after="160"/>
        <w:ind w:left="227"/>
        <w:jc w:val="both"/>
      </w:pPr>
      <w:r>
        <w:rPr>
          <w:b/>
        </w:rPr>
        <w:t xml:space="preserve">3. Escribir los requerimientos antes de comparar alternativas. </w:t>
      </w:r>
      <w:r>
        <w:t>Enunciarlos con claridad está entre los tres primeros factores de éxito. Conviene incluir los no funcionales, que son los que después no se pueden negociar: nivel de servicio, accesibilidad y protección de datos.</w:t>
      </w:r>
      <w:r>
        <w:rPr>
          <w:sz w:val="18"/>
        </w:rPr>
        <w:t xml:space="preserve"> </w:t>
      </w:r>
      <w:hyperlink w:anchor="fuente_4">
        <w:r>
          <w:rPr>
            <w:color w:val="1F3B63"/>
            <w:sz w:val="18"/>
          </w:rPr>
          <w:t>[4]</w:t>
        </w:r>
      </w:hyperlink>
      <w:hyperlink w:anchor="fuente_52">
        <w:r>
          <w:rPr>
            <w:color w:val="1F3B63"/>
            <w:sz w:val="18"/>
          </w:rPr>
          <w:t>[52]</w:t>
        </w:r>
      </w:hyperlink>
      <w:hyperlink w:anchor="fuente_8">
        <w:r>
          <w:rPr>
            <w:color w:val="1F3B63"/>
            <w:sz w:val="18"/>
          </w:rPr>
          <w:t>[8]</w:t>
        </w:r>
      </w:hyperlink>
    </w:p>
    <w:p w14:paraId="18547131" w14:textId="77777777" w:rsidR="00FF3B0F" w:rsidRDefault="005306D5">
      <w:pPr>
        <w:spacing w:before="160"/>
        <w:jc w:val="both"/>
      </w:pPr>
      <w:r>
        <w:rPr>
          <w:b/>
        </w:rPr>
        <w:t xml:space="preserve">Lo que se firma y después no se cambia. </w:t>
      </w:r>
      <w:r>
        <w:rPr>
          <w:i/>
        </w:rPr>
        <w:t>Es donde transcurre la mayor parte de la vida del sistema, y donde se decide cuánto cuesta salir.</w:t>
      </w:r>
    </w:p>
    <w:p w14:paraId="7A873618" w14:textId="77777777" w:rsidR="00FF3B0F" w:rsidRDefault="005306D5">
      <w:pPr>
        <w:spacing w:after="160"/>
        <w:ind w:left="227"/>
        <w:jc w:val="both"/>
      </w:pPr>
      <w:r>
        <w:rPr>
          <w:b/>
        </w:rPr>
        <w:t xml:space="preserve">4. Fijar el nivel de servicio en términos medibles. </w:t>
      </w:r>
      <w:r>
        <w:t>Un compromiso de disponibilidad sin indicador que lo mida no es exigible, y ningún objetivo puede ser del 100%: sostenerlo encarece la solución y frena la evolución. Corresponde definir el indicador, el objetivo y la consecuencia por incumplirlo antes de firmar.</w:t>
      </w:r>
      <w:r>
        <w:rPr>
          <w:sz w:val="18"/>
        </w:rPr>
        <w:t xml:space="preserve"> </w:t>
      </w:r>
      <w:hyperlink w:anchor="fuente_12">
        <w:r>
          <w:rPr>
            <w:color w:val="1F3B63"/>
            <w:sz w:val="18"/>
          </w:rPr>
          <w:t>[12]</w:t>
        </w:r>
      </w:hyperlink>
    </w:p>
    <w:p w14:paraId="303339FF" w14:textId="77777777" w:rsidR="00FF3B0F" w:rsidRDefault="005306D5">
      <w:pPr>
        <w:spacing w:after="160"/>
        <w:ind w:left="227"/>
        <w:jc w:val="both"/>
      </w:pPr>
      <w:r>
        <w:rPr>
          <w:b/>
        </w:rPr>
        <w:t xml:space="preserve">5. Analizar la estructura del costo, no su magnitud. </w:t>
      </w:r>
      <w:r>
        <w:t>Es la causa más citada de desvío presupuestario, y el total no lo determina el precio de entrada sino lo que cada cambio obliga a rehacer. Y si hay varias unidades que necesitan lo mismo, conviene construirlo una vez y compartirlo: para el Tribunal de Cuentas Europeo esa era la opción más eficiente en costo.</w:t>
      </w:r>
      <w:r>
        <w:rPr>
          <w:sz w:val="18"/>
        </w:rPr>
        <w:t xml:space="preserve"> </w:t>
      </w:r>
      <w:hyperlink w:anchor="fuente_6">
        <w:r>
          <w:rPr>
            <w:color w:val="1F3B63"/>
            <w:sz w:val="18"/>
          </w:rPr>
          <w:t>[6]</w:t>
        </w:r>
      </w:hyperlink>
      <w:hyperlink w:anchor="fuente_34">
        <w:r>
          <w:rPr>
            <w:color w:val="1F3B63"/>
            <w:sz w:val="18"/>
          </w:rPr>
          <w:t>[34]</w:t>
        </w:r>
      </w:hyperlink>
      <w:hyperlink w:anchor="fuente_10">
        <w:r>
          <w:rPr>
            <w:color w:val="1F3B63"/>
            <w:sz w:val="18"/>
          </w:rPr>
          <w:t>[10]</w:t>
        </w:r>
      </w:hyperlink>
      <w:hyperlink w:anchor="fuente_55">
        <w:r>
          <w:rPr>
            <w:color w:val="1F3B63"/>
            <w:sz w:val="18"/>
          </w:rPr>
          <w:t>[55]</w:t>
        </w:r>
      </w:hyperlink>
    </w:p>
    <w:p w14:paraId="3844A81B" w14:textId="77777777" w:rsidR="00FF3B0F" w:rsidRDefault="005306D5">
      <w:pPr>
        <w:spacing w:after="160"/>
        <w:ind w:left="227"/>
        <w:jc w:val="both"/>
      </w:pPr>
      <w:r>
        <w:rPr>
          <w:b/>
        </w:rPr>
        <w:t xml:space="preserve">6. Planificar la salida desde el principio. </w:t>
      </w:r>
      <w:r>
        <w:t>Antes de firmar conviene saber cuánto cuesta cambiar: migrar los datos, rehacer integraciones y reconstruir lo parametrizado. Ese costo crece con cada adaptación acumulada.</w:t>
      </w:r>
      <w:r>
        <w:rPr>
          <w:sz w:val="18"/>
        </w:rPr>
        <w:t xml:space="preserve"> </w:t>
      </w:r>
      <w:hyperlink w:anchor="fuente_50">
        <w:r>
          <w:rPr>
            <w:color w:val="1F3B63"/>
            <w:sz w:val="18"/>
          </w:rPr>
          <w:t>[50]</w:t>
        </w:r>
      </w:hyperlink>
      <w:hyperlink w:anchor="fuente_6">
        <w:r>
          <w:rPr>
            <w:color w:val="1F3B63"/>
            <w:sz w:val="18"/>
          </w:rPr>
          <w:t>[6]</w:t>
        </w:r>
      </w:hyperlink>
      <w:hyperlink w:anchor="fuente_7">
        <w:r>
          <w:rPr>
            <w:color w:val="1F3B63"/>
            <w:sz w:val="18"/>
          </w:rPr>
          <w:t>[7]</w:t>
        </w:r>
      </w:hyperlink>
    </w:p>
    <w:p w14:paraId="3CF1DDB0" w14:textId="77777777" w:rsidR="00FF3B0F" w:rsidRDefault="005306D5">
      <w:pPr>
        <w:pStyle w:val="Ttulo1"/>
      </w:pPr>
      <w:bookmarkStart w:id="23" w:name="_Toc239258736"/>
      <w:r>
        <w:lastRenderedPageBreak/>
        <w:t>7. Bibliografía</w:t>
      </w:r>
      <w:bookmarkEnd w:id="23"/>
    </w:p>
    <w:p w14:paraId="25D28686" w14:textId="77777777" w:rsidR="00FF3B0F" w:rsidRDefault="005306D5">
      <w:pPr>
        <w:spacing w:before="80" w:after="0" w:line="240" w:lineRule="auto"/>
        <w:ind w:left="624" w:hanging="624"/>
      </w:pPr>
      <w:bookmarkStart w:id="24" w:name="fuente_1"/>
      <w:r>
        <w:rPr>
          <w:b/>
          <w:color w:val="1F3B63"/>
          <w:sz w:val="18"/>
        </w:rPr>
        <w:t xml:space="preserve">[1] </w:t>
      </w:r>
      <w:hyperlink r:id="rId10">
        <w:r>
          <w:rPr>
            <w:b/>
            <w:sz w:val="18"/>
          </w:rPr>
          <w:t xml:space="preserve">Fowler, M. </w:t>
        </w:r>
        <w:r>
          <w:rPr>
            <w:color w:val="1F3B63"/>
            <w:sz w:val="18"/>
          </w:rPr>
          <w:t>UtilityVsStrategicDichotomy</w:t>
        </w:r>
        <w:r>
          <w:rPr>
            <w:sz w:val="18"/>
          </w:rPr>
          <w:t>. martinfowler.com.</w:t>
        </w:r>
      </w:hyperlink>
      <w:bookmarkEnd w:id="24"/>
    </w:p>
    <w:p w14:paraId="187F9780" w14:textId="77777777" w:rsidR="00FF3B0F" w:rsidRDefault="005306D5">
      <w:pPr>
        <w:spacing w:before="80" w:after="0" w:line="240" w:lineRule="auto"/>
        <w:ind w:left="624" w:hanging="624"/>
      </w:pPr>
      <w:bookmarkStart w:id="25" w:name="fuente_2"/>
      <w:r>
        <w:rPr>
          <w:b/>
          <w:color w:val="1F3B63"/>
          <w:sz w:val="18"/>
        </w:rPr>
        <w:t xml:space="preserve">[2] </w:t>
      </w:r>
      <w:hyperlink r:id="rId11">
        <w:r>
          <w:rPr>
            <w:b/>
            <w:sz w:val="18"/>
          </w:rPr>
          <w:t xml:space="preserve">Haddara, M. y Zach, O (2012). </w:t>
        </w:r>
        <w:r>
          <w:rPr>
            <w:color w:val="1F3B63"/>
            <w:sz w:val="18"/>
          </w:rPr>
          <w:t>ERP Systems in SMEs: An Extended Literature Review</w:t>
        </w:r>
        <w:r>
          <w:rPr>
            <w:sz w:val="18"/>
          </w:rPr>
          <w:t>. International Journal of Information Science, 2(6), 106-116.</w:t>
        </w:r>
      </w:hyperlink>
      <w:bookmarkEnd w:id="25"/>
    </w:p>
    <w:p w14:paraId="71E3D4A6" w14:textId="77777777" w:rsidR="00FF3B0F" w:rsidRDefault="005306D5">
      <w:pPr>
        <w:spacing w:before="80" w:after="0" w:line="240" w:lineRule="auto"/>
        <w:ind w:left="624" w:hanging="624"/>
      </w:pPr>
      <w:bookmarkStart w:id="26" w:name="fuente_3"/>
      <w:r>
        <w:rPr>
          <w:b/>
          <w:color w:val="1F3B63"/>
          <w:sz w:val="18"/>
        </w:rPr>
        <w:t xml:space="preserve">[3] </w:t>
      </w:r>
      <w:hyperlink r:id="rId12">
        <w:r>
          <w:rPr>
            <w:b/>
            <w:sz w:val="18"/>
          </w:rPr>
          <w:t xml:space="preserve">Oberndorf, T., Brownsword, L. y Sledge, C. A (2000). </w:t>
        </w:r>
        <w:r>
          <w:rPr>
            <w:color w:val="1F3B63"/>
            <w:sz w:val="18"/>
          </w:rPr>
          <w:t>An Activity Framework for COTS-Based Systems</w:t>
        </w:r>
        <w:r>
          <w:rPr>
            <w:sz w:val="18"/>
          </w:rPr>
          <w:t>. Technical Report CMU/SEI-2000-TR-010, Software Engineering Institute.</w:t>
        </w:r>
      </w:hyperlink>
      <w:bookmarkEnd w:id="26"/>
    </w:p>
    <w:p w14:paraId="4C61EBA0" w14:textId="77777777" w:rsidR="00FF3B0F" w:rsidRDefault="005306D5">
      <w:pPr>
        <w:spacing w:before="80" w:after="0" w:line="240" w:lineRule="auto"/>
        <w:ind w:left="624" w:hanging="624"/>
      </w:pPr>
      <w:bookmarkStart w:id="27" w:name="fuente_4"/>
      <w:r>
        <w:rPr>
          <w:b/>
          <w:color w:val="1F3B63"/>
          <w:sz w:val="18"/>
        </w:rPr>
        <w:t xml:space="preserve">[4] </w:t>
      </w:r>
      <w:hyperlink r:id="rId13">
        <w:r>
          <w:rPr>
            <w:b/>
            <w:sz w:val="18"/>
          </w:rPr>
          <w:t xml:space="preserve">The Standish Group (1995). </w:t>
        </w:r>
        <w:r>
          <w:rPr>
            <w:color w:val="1F3B63"/>
            <w:sz w:val="18"/>
          </w:rPr>
          <w:t>CHAOS Report</w:t>
        </w:r>
        <w:r>
          <w:rPr>
            <w:sz w:val="18"/>
          </w:rPr>
          <w:t>. The Standish Group International.</w:t>
        </w:r>
      </w:hyperlink>
      <w:bookmarkEnd w:id="27"/>
    </w:p>
    <w:p w14:paraId="639934C3" w14:textId="77777777" w:rsidR="00FF3B0F" w:rsidRDefault="005306D5">
      <w:pPr>
        <w:spacing w:before="80" w:after="0" w:line="240" w:lineRule="auto"/>
        <w:ind w:left="624" w:hanging="624"/>
      </w:pPr>
      <w:bookmarkStart w:id="28" w:name="fuente_5"/>
      <w:r>
        <w:rPr>
          <w:b/>
          <w:color w:val="1F3B63"/>
          <w:sz w:val="18"/>
        </w:rPr>
        <w:t xml:space="preserve">[5] </w:t>
      </w:r>
      <w:hyperlink r:id="rId14">
        <w:r>
          <w:rPr>
            <w:b/>
            <w:sz w:val="18"/>
          </w:rPr>
          <w:t xml:space="preserve">Flyvbjerg, B. y Budzier, A (2011). </w:t>
        </w:r>
        <w:r>
          <w:rPr>
            <w:color w:val="1F3B63"/>
            <w:sz w:val="18"/>
          </w:rPr>
          <w:t>Why Your IT Project May Be Riskier Than You Think</w:t>
        </w:r>
        <w:r>
          <w:rPr>
            <w:sz w:val="18"/>
          </w:rPr>
          <w:t>. Harvard Business Review 89(9), 23-25.</w:t>
        </w:r>
      </w:hyperlink>
      <w:bookmarkEnd w:id="28"/>
    </w:p>
    <w:p w14:paraId="0789FC4D" w14:textId="77777777" w:rsidR="00FF3B0F" w:rsidRDefault="005306D5">
      <w:pPr>
        <w:spacing w:before="80" w:after="0" w:line="240" w:lineRule="auto"/>
        <w:ind w:left="624" w:hanging="624"/>
      </w:pPr>
      <w:bookmarkStart w:id="29" w:name="fuente_6"/>
      <w:r>
        <w:rPr>
          <w:b/>
          <w:color w:val="1F3B63"/>
          <w:sz w:val="18"/>
        </w:rPr>
        <w:t xml:space="preserve">[6] </w:t>
      </w:r>
      <w:hyperlink r:id="rId15">
        <w:r>
          <w:rPr>
            <w:b/>
            <w:sz w:val="18"/>
          </w:rPr>
          <w:t xml:space="preserve">Fowler, M. </w:t>
        </w:r>
        <w:r>
          <w:rPr>
            <w:color w:val="1F3B63"/>
            <w:sz w:val="18"/>
          </w:rPr>
          <w:t>PackageCustomization</w:t>
        </w:r>
        <w:r>
          <w:rPr>
            <w:sz w:val="18"/>
          </w:rPr>
          <w:t>. martinfowler.com.</w:t>
        </w:r>
      </w:hyperlink>
      <w:bookmarkEnd w:id="29"/>
    </w:p>
    <w:p w14:paraId="53A0D92F" w14:textId="77777777" w:rsidR="00FF3B0F" w:rsidRDefault="005306D5">
      <w:pPr>
        <w:spacing w:before="80" w:after="0" w:line="240" w:lineRule="auto"/>
        <w:ind w:left="624" w:hanging="624"/>
      </w:pPr>
      <w:bookmarkStart w:id="30" w:name="fuente_7"/>
      <w:r>
        <w:rPr>
          <w:b/>
          <w:color w:val="1F3B63"/>
          <w:sz w:val="18"/>
        </w:rPr>
        <w:t xml:space="preserve">[7] </w:t>
      </w:r>
      <w:hyperlink r:id="rId16">
        <w:r>
          <w:rPr>
            <w:b/>
            <w:sz w:val="18"/>
          </w:rPr>
          <w:t xml:space="preserve">Panorama Consulting Group. </w:t>
        </w:r>
        <w:r>
          <w:rPr>
            <w:color w:val="1F3B63"/>
            <w:sz w:val="18"/>
          </w:rPr>
          <w:t>Top 10 ERP System Implementation Failures of the Last 3 Decades</w:t>
        </w:r>
        <w:r>
          <w:rPr>
            <w:sz w:val="18"/>
          </w:rPr>
          <w:t>. Panorama Consulting Group.</w:t>
        </w:r>
      </w:hyperlink>
      <w:bookmarkEnd w:id="30"/>
    </w:p>
    <w:p w14:paraId="5CB8B74A" w14:textId="77777777" w:rsidR="00FF3B0F" w:rsidRDefault="005306D5">
      <w:pPr>
        <w:spacing w:before="80" w:after="0" w:line="240" w:lineRule="auto"/>
        <w:ind w:left="624" w:hanging="624"/>
      </w:pPr>
      <w:bookmarkStart w:id="31" w:name="fuente_8"/>
      <w:r>
        <w:rPr>
          <w:b/>
          <w:color w:val="1F3B63"/>
          <w:sz w:val="18"/>
        </w:rPr>
        <w:t xml:space="preserve">[8] </w:t>
      </w:r>
      <w:hyperlink r:id="rId17">
        <w:r>
          <w:rPr>
            <w:b/>
            <w:sz w:val="18"/>
          </w:rPr>
          <w:t xml:space="preserve">República Argentina (2000). </w:t>
        </w:r>
        <w:r>
          <w:rPr>
            <w:color w:val="1F3B63"/>
            <w:sz w:val="18"/>
          </w:rPr>
          <w:t>Ley 25.326 de Protección de los Datos Personales</w:t>
        </w:r>
        <w:r>
          <w:rPr>
            <w:sz w:val="18"/>
          </w:rPr>
          <w:t>. Boletín Oficial; texto actualizado en InfoLEG.</w:t>
        </w:r>
      </w:hyperlink>
      <w:bookmarkEnd w:id="31"/>
    </w:p>
    <w:p w14:paraId="355C7C35" w14:textId="77777777" w:rsidR="00FF3B0F" w:rsidRDefault="005306D5">
      <w:pPr>
        <w:spacing w:before="80" w:after="0" w:line="240" w:lineRule="auto"/>
        <w:ind w:left="624" w:hanging="624"/>
      </w:pPr>
      <w:bookmarkStart w:id="32" w:name="fuente_9"/>
      <w:r>
        <w:rPr>
          <w:b/>
          <w:color w:val="1F3B63"/>
          <w:sz w:val="18"/>
        </w:rPr>
        <w:t xml:space="preserve">[9] </w:t>
      </w:r>
      <w:hyperlink r:id="rId18">
        <w:r>
          <w:rPr>
            <w:b/>
            <w:sz w:val="18"/>
          </w:rPr>
          <w:t xml:space="preserve">República Argentina (2010). </w:t>
        </w:r>
        <w:r>
          <w:rPr>
            <w:color w:val="1F3B63"/>
            <w:sz w:val="18"/>
          </w:rPr>
          <w:t>Ley 26.653 de Accesibilidad de la Información en las Páginas Web</w:t>
        </w:r>
        <w:r>
          <w:rPr>
            <w:sz w:val="18"/>
          </w:rPr>
          <w:t>. Boletín Oficial; texto en InfoLEG.</w:t>
        </w:r>
      </w:hyperlink>
      <w:bookmarkEnd w:id="32"/>
    </w:p>
    <w:p w14:paraId="3815CD6E" w14:textId="77777777" w:rsidR="00FF3B0F" w:rsidRDefault="005306D5">
      <w:pPr>
        <w:spacing w:before="80" w:after="0" w:line="240" w:lineRule="auto"/>
        <w:ind w:left="624" w:hanging="624"/>
      </w:pPr>
      <w:bookmarkStart w:id="33" w:name="fuente_10"/>
      <w:r>
        <w:rPr>
          <w:b/>
          <w:color w:val="1F3B63"/>
          <w:sz w:val="18"/>
        </w:rPr>
        <w:t xml:space="preserve">[10] </w:t>
      </w:r>
      <w:hyperlink r:id="rId19">
        <w:r>
          <w:rPr>
            <w:b/>
            <w:sz w:val="18"/>
          </w:rPr>
          <w:t xml:space="preserve">Microsoft (2022). </w:t>
        </w:r>
        <w:r>
          <w:rPr>
            <w:color w:val="1F3B63"/>
            <w:sz w:val="18"/>
          </w:rPr>
          <w:t>Fixed Lifecycle Policy</w:t>
        </w:r>
        <w:r>
          <w:rPr>
            <w:sz w:val="18"/>
          </w:rPr>
          <w:t>. Microsoft Learn — Microsoft Lifecycle.</w:t>
        </w:r>
      </w:hyperlink>
      <w:bookmarkEnd w:id="33"/>
    </w:p>
    <w:p w14:paraId="3776B613" w14:textId="77777777" w:rsidR="00FF3B0F" w:rsidRDefault="005306D5">
      <w:pPr>
        <w:spacing w:before="80" w:after="0" w:line="240" w:lineRule="auto"/>
        <w:ind w:left="624" w:hanging="624"/>
      </w:pPr>
      <w:bookmarkStart w:id="34" w:name="fuente_11"/>
      <w:r>
        <w:rPr>
          <w:b/>
          <w:color w:val="1F3B63"/>
          <w:sz w:val="18"/>
        </w:rPr>
        <w:t xml:space="preserve">[11] </w:t>
      </w:r>
      <w:hyperlink r:id="rId20">
        <w:r>
          <w:rPr>
            <w:b/>
            <w:sz w:val="18"/>
          </w:rPr>
          <w:t xml:space="preserve">Kruchten, P., Nord, R. L. y Ozkaya, I (2012). </w:t>
        </w:r>
        <w:r>
          <w:rPr>
            <w:color w:val="1F3B63"/>
            <w:sz w:val="18"/>
          </w:rPr>
          <w:t>Technical Debt: From Metaphor to Theory and Practice</w:t>
        </w:r>
        <w:r>
          <w:rPr>
            <w:sz w:val="18"/>
          </w:rPr>
          <w:t>. IEEE Software 29(6), 18-21.</w:t>
        </w:r>
      </w:hyperlink>
      <w:bookmarkEnd w:id="34"/>
    </w:p>
    <w:p w14:paraId="6033CAD2" w14:textId="77777777" w:rsidR="00FF3B0F" w:rsidRDefault="005306D5">
      <w:pPr>
        <w:spacing w:before="80" w:after="0" w:line="240" w:lineRule="auto"/>
        <w:ind w:left="624" w:hanging="624"/>
      </w:pPr>
      <w:bookmarkStart w:id="35" w:name="fuente_12"/>
      <w:r>
        <w:rPr>
          <w:b/>
          <w:color w:val="1F3B63"/>
          <w:sz w:val="18"/>
        </w:rPr>
        <w:t xml:space="preserve">[12] </w:t>
      </w:r>
      <w:hyperlink r:id="rId21">
        <w:r>
          <w:rPr>
            <w:b/>
            <w:sz w:val="18"/>
          </w:rPr>
          <w:t xml:space="preserve">Beyer, B., Jones, C., Petoff, J. y Murphy, N. R. (eds.) (2016). </w:t>
        </w:r>
        <w:r>
          <w:rPr>
            <w:color w:val="1F3B63"/>
            <w:sz w:val="18"/>
          </w:rPr>
          <w:t>Site Reliability Engineering, capítulo «Service Level Objectives»</w:t>
        </w:r>
        <w:r>
          <w:rPr>
            <w:sz w:val="18"/>
          </w:rPr>
          <w:t>. O'Reilly / Google.</w:t>
        </w:r>
      </w:hyperlink>
      <w:bookmarkEnd w:id="35"/>
    </w:p>
    <w:p w14:paraId="3DF8C4EA" w14:textId="77777777" w:rsidR="00FF3B0F" w:rsidRDefault="005306D5">
      <w:pPr>
        <w:spacing w:before="80" w:after="0" w:line="240" w:lineRule="auto"/>
        <w:ind w:left="624" w:hanging="624"/>
      </w:pPr>
      <w:bookmarkStart w:id="36" w:name="fuente_13"/>
      <w:r>
        <w:rPr>
          <w:b/>
          <w:color w:val="1F3B63"/>
          <w:sz w:val="18"/>
        </w:rPr>
        <w:t xml:space="preserve">[13] </w:t>
      </w:r>
      <w:hyperlink r:id="rId22">
        <w:r>
          <w:rPr>
            <w:b/>
            <w:sz w:val="18"/>
          </w:rPr>
          <w:t xml:space="preserve">Lipson, H. F., Mead, N. R. y Moore, A. P (2001). </w:t>
        </w:r>
        <w:r>
          <w:rPr>
            <w:color w:val="1F3B63"/>
            <w:sz w:val="18"/>
          </w:rPr>
          <w:t>Can We Ever Build Survivable Systems from COTS Components?</w:t>
        </w:r>
        <w:r>
          <w:rPr>
            <w:sz w:val="18"/>
          </w:rPr>
          <w:t>. Technical Note CMU/SEI-2001-TN-030, Software Engineering Institute.</w:t>
        </w:r>
      </w:hyperlink>
      <w:bookmarkEnd w:id="36"/>
    </w:p>
    <w:p w14:paraId="0BA70AB2" w14:textId="77777777" w:rsidR="00FF3B0F" w:rsidRDefault="005306D5">
      <w:pPr>
        <w:spacing w:before="80" w:after="0" w:line="240" w:lineRule="auto"/>
        <w:ind w:left="624" w:hanging="624"/>
      </w:pPr>
      <w:bookmarkStart w:id="37" w:name="fuente_14"/>
      <w:r>
        <w:rPr>
          <w:b/>
          <w:color w:val="1F3B63"/>
          <w:sz w:val="18"/>
        </w:rPr>
        <w:t xml:space="preserve">[14] </w:t>
      </w:r>
      <w:hyperlink r:id="rId23">
        <w:r>
          <w:rPr>
            <w:b/>
            <w:sz w:val="18"/>
          </w:rPr>
          <w:t xml:space="preserve">Spolsky, J (2001). </w:t>
        </w:r>
        <w:r>
          <w:rPr>
            <w:color w:val="1F3B63"/>
            <w:sz w:val="18"/>
          </w:rPr>
          <w:t>In Defense of Not-Invented-Here Syndrome</w:t>
        </w:r>
        <w:r>
          <w:rPr>
            <w:sz w:val="18"/>
          </w:rPr>
          <w:t>. Joel on Software.</w:t>
        </w:r>
      </w:hyperlink>
      <w:bookmarkEnd w:id="37"/>
    </w:p>
    <w:p w14:paraId="2251FF4B" w14:textId="77777777" w:rsidR="00FF3B0F" w:rsidRDefault="005306D5">
      <w:pPr>
        <w:spacing w:before="80" w:after="0" w:line="240" w:lineRule="auto"/>
        <w:ind w:left="624" w:hanging="624"/>
      </w:pPr>
      <w:bookmarkStart w:id="38" w:name="fuente_15"/>
      <w:r>
        <w:rPr>
          <w:b/>
          <w:color w:val="1F3B63"/>
          <w:sz w:val="18"/>
        </w:rPr>
        <w:t xml:space="preserve">[15] </w:t>
      </w:r>
      <w:hyperlink r:id="rId24">
        <w:r>
          <w:rPr>
            <w:b/>
            <w:sz w:val="18"/>
          </w:rPr>
          <w:t xml:space="preserve">Misra, J., Kaulgud, V., Burden, A. y Podder, S (2026). </w:t>
        </w:r>
        <w:r>
          <w:rPr>
            <w:color w:val="1F3B63"/>
            <w:sz w:val="18"/>
          </w:rPr>
          <w:t>Rethinking Build vs. Buy Decisions in Enterprise Software: Navigating Trade-offs through a Structured Decision-Support Approach</w:t>
        </w:r>
        <w:r>
          <w:rPr>
            <w:sz w:val="18"/>
          </w:rPr>
          <w:t>. Preprint, Accenture.</w:t>
        </w:r>
      </w:hyperlink>
      <w:bookmarkEnd w:id="38"/>
    </w:p>
    <w:p w14:paraId="3EBBB5AA" w14:textId="77777777" w:rsidR="00FF3B0F" w:rsidRDefault="005306D5">
      <w:pPr>
        <w:spacing w:before="80" w:after="0" w:line="240" w:lineRule="auto"/>
        <w:ind w:left="624" w:hanging="624"/>
      </w:pPr>
      <w:bookmarkStart w:id="39" w:name="fuente_16"/>
      <w:r>
        <w:rPr>
          <w:b/>
          <w:color w:val="1F3B63"/>
          <w:sz w:val="18"/>
        </w:rPr>
        <w:t xml:space="preserve">[16] </w:t>
      </w:r>
      <w:hyperlink r:id="rId25">
        <w:r>
          <w:rPr>
            <w:b/>
            <w:sz w:val="18"/>
          </w:rPr>
          <w:t xml:space="preserve">Klotz, D (2026). </w:t>
        </w:r>
        <w:r>
          <w:rPr>
            <w:color w:val="1F3B63"/>
            <w:sz w:val="18"/>
          </w:rPr>
          <w:t>The Buy-or-Build Decision, Revisited: How Agentic AI Changes the Economics of Enterprise Software</w:t>
        </w:r>
        <w:r>
          <w:rPr>
            <w:sz w:val="18"/>
          </w:rPr>
          <w:t>. Preprint, Institute for Applied AI, Media University Stuttgart.</w:t>
        </w:r>
      </w:hyperlink>
      <w:bookmarkEnd w:id="39"/>
    </w:p>
    <w:p w14:paraId="4235174B" w14:textId="77777777" w:rsidR="00FF3B0F" w:rsidRDefault="005306D5">
      <w:pPr>
        <w:spacing w:before="80" w:after="0" w:line="240" w:lineRule="auto"/>
        <w:ind w:left="624" w:hanging="624"/>
      </w:pPr>
      <w:bookmarkStart w:id="40" w:name="fuente_17"/>
      <w:r>
        <w:rPr>
          <w:b/>
          <w:color w:val="1F3B63"/>
          <w:sz w:val="18"/>
        </w:rPr>
        <w:t xml:space="preserve">[17] </w:t>
      </w:r>
      <w:hyperlink r:id="rId26">
        <w:r>
          <w:rPr>
            <w:b/>
            <w:sz w:val="18"/>
          </w:rPr>
          <w:t xml:space="preserve">ISO/IEC (2023). </w:t>
        </w:r>
        <w:r>
          <w:rPr>
            <w:color w:val="1F3B63"/>
            <w:sz w:val="18"/>
          </w:rPr>
          <w:t>ISO/IEC 25010:2023 — SQuaRE — Product quality model</w:t>
        </w:r>
        <w:r>
          <w:rPr>
            <w:sz w:val="18"/>
          </w:rPr>
          <w:t>. Reproducción abierta del modelo en arc42 Quality Model.</w:t>
        </w:r>
      </w:hyperlink>
      <w:bookmarkEnd w:id="40"/>
    </w:p>
    <w:p w14:paraId="09CB7E9A" w14:textId="77777777" w:rsidR="00FF3B0F" w:rsidRDefault="005306D5">
      <w:pPr>
        <w:spacing w:before="80" w:after="0" w:line="240" w:lineRule="auto"/>
        <w:ind w:left="624" w:hanging="624"/>
      </w:pPr>
      <w:bookmarkStart w:id="41" w:name="fuente_18"/>
      <w:r>
        <w:rPr>
          <w:b/>
          <w:color w:val="1F3B63"/>
          <w:sz w:val="18"/>
        </w:rPr>
        <w:t xml:space="preserve">[18] </w:t>
      </w:r>
      <w:hyperlink r:id="rId27">
        <w:r>
          <w:rPr>
            <w:b/>
            <w:sz w:val="18"/>
          </w:rPr>
          <w:t xml:space="preserve">Alamin, M. A. A. et al (2021). </w:t>
        </w:r>
        <w:r>
          <w:rPr>
            <w:color w:val="1F3B63"/>
            <w:sz w:val="18"/>
          </w:rPr>
          <w:t>An Empirical Study of Developer Discussions on Low-Code Software Development Challenges</w:t>
        </w:r>
        <w:r>
          <w:rPr>
            <w:sz w:val="18"/>
          </w:rPr>
          <w:t>. Preprint.</w:t>
        </w:r>
      </w:hyperlink>
      <w:bookmarkEnd w:id="41"/>
    </w:p>
    <w:p w14:paraId="5EC49211" w14:textId="77777777" w:rsidR="00FF3B0F" w:rsidRDefault="005306D5">
      <w:pPr>
        <w:spacing w:before="80" w:after="0" w:line="240" w:lineRule="auto"/>
        <w:ind w:left="624" w:hanging="624"/>
      </w:pPr>
      <w:bookmarkStart w:id="42" w:name="fuente_19"/>
      <w:r>
        <w:rPr>
          <w:b/>
          <w:color w:val="1F3B63"/>
          <w:sz w:val="18"/>
        </w:rPr>
        <w:t xml:space="preserve">[19] </w:t>
      </w:r>
      <w:hyperlink r:id="rId28">
        <w:r>
          <w:rPr>
            <w:b/>
            <w:sz w:val="18"/>
          </w:rPr>
          <w:t xml:space="preserve">National Audit Office (2021). </w:t>
        </w:r>
        <w:r>
          <w:rPr>
            <w:color w:val="1F3B63"/>
            <w:sz w:val="18"/>
          </w:rPr>
          <w:t>The challenges in implementing digital change</w:t>
        </w:r>
        <w:r>
          <w:rPr>
            <w:sz w:val="18"/>
          </w:rPr>
          <w:t>. Informe al Parlamento del Reino Unido, HC 575.</w:t>
        </w:r>
      </w:hyperlink>
      <w:bookmarkEnd w:id="42"/>
    </w:p>
    <w:p w14:paraId="362471E4" w14:textId="77777777" w:rsidR="00FF3B0F" w:rsidRDefault="005306D5">
      <w:pPr>
        <w:spacing w:before="80" w:after="0" w:line="240" w:lineRule="auto"/>
        <w:ind w:left="624" w:hanging="624"/>
      </w:pPr>
      <w:bookmarkStart w:id="43" w:name="fuente_20"/>
      <w:r>
        <w:rPr>
          <w:b/>
          <w:color w:val="1F3B63"/>
          <w:sz w:val="18"/>
        </w:rPr>
        <w:t xml:space="preserve">[20] </w:t>
      </w:r>
      <w:hyperlink r:id="rId29">
        <w:r>
          <w:rPr>
            <w:b/>
            <w:sz w:val="18"/>
          </w:rPr>
          <w:t xml:space="preserve">Słoniec, J (2016). </w:t>
        </w:r>
        <w:r>
          <w:rPr>
            <w:color w:val="1F3B63"/>
            <w:sz w:val="18"/>
          </w:rPr>
          <w:t>A Review of the Literature on IT Outsourcing: Polish Research versus Other Countries' Research</w:t>
        </w:r>
        <w:r>
          <w:rPr>
            <w:sz w:val="18"/>
          </w:rPr>
          <w:t>. International Journal of Contemporary Management 15(3), 95-121.</w:t>
        </w:r>
      </w:hyperlink>
      <w:bookmarkEnd w:id="43"/>
    </w:p>
    <w:p w14:paraId="2F31F7E5" w14:textId="77777777" w:rsidR="00FF3B0F" w:rsidRDefault="005306D5">
      <w:pPr>
        <w:spacing w:before="80" w:after="0" w:line="240" w:lineRule="auto"/>
        <w:ind w:left="624" w:hanging="624"/>
      </w:pPr>
      <w:bookmarkStart w:id="44" w:name="fuente_21"/>
      <w:r>
        <w:rPr>
          <w:b/>
          <w:color w:val="1F3B63"/>
          <w:sz w:val="18"/>
        </w:rPr>
        <w:t xml:space="preserve">[21] </w:t>
      </w:r>
      <w:hyperlink r:id="rId30">
        <w:r>
          <w:rPr>
            <w:b/>
            <w:sz w:val="18"/>
          </w:rPr>
          <w:t xml:space="preserve">Shad, S. A., Chen, E. y Azeem, F. M. F (2012). </w:t>
        </w:r>
        <w:r>
          <w:rPr>
            <w:color w:val="1F3B63"/>
            <w:sz w:val="18"/>
          </w:rPr>
          <w:t>Performance Enhancement Factors of ERP Projects in a Telecom Public Sector Organization of Pakistan: An Exploratory Study</w:t>
        </w:r>
        <w:r>
          <w:rPr>
            <w:sz w:val="18"/>
          </w:rPr>
          <w:t>. Preprint.</w:t>
        </w:r>
      </w:hyperlink>
      <w:bookmarkEnd w:id="44"/>
    </w:p>
    <w:p w14:paraId="2AFFCB48" w14:textId="77777777" w:rsidR="00FF3B0F" w:rsidRDefault="005306D5">
      <w:pPr>
        <w:spacing w:before="80" w:after="0" w:line="240" w:lineRule="auto"/>
        <w:ind w:left="624" w:hanging="624"/>
      </w:pPr>
      <w:bookmarkStart w:id="45" w:name="fuente_22"/>
      <w:r>
        <w:rPr>
          <w:b/>
          <w:color w:val="1F3B63"/>
          <w:sz w:val="18"/>
        </w:rPr>
        <w:t xml:space="preserve">[22] </w:t>
      </w:r>
      <w:hyperlink r:id="rId31">
        <w:r>
          <w:rPr>
            <w:b/>
            <w:sz w:val="18"/>
          </w:rPr>
          <w:t xml:space="preserve">United States Government Accountability Office (2000). </w:t>
        </w:r>
        <w:r>
          <w:rPr>
            <w:color w:val="1F3B63"/>
            <w:sz w:val="18"/>
          </w:rPr>
          <w:t>Information Technology: Selected Agencies' Use of Commercial Off-the-Shelf Software for Human Resources Functions (GAO/AIMD-00-270)</w:t>
        </w:r>
        <w:r>
          <w:rPr>
            <w:sz w:val="18"/>
          </w:rPr>
          <w:t>. Informe al Congreso de los Estados Unidos.</w:t>
        </w:r>
      </w:hyperlink>
      <w:bookmarkEnd w:id="45"/>
    </w:p>
    <w:p w14:paraId="322660C0" w14:textId="77777777" w:rsidR="00FF3B0F" w:rsidRDefault="005306D5">
      <w:pPr>
        <w:spacing w:before="80" w:after="0" w:line="240" w:lineRule="auto"/>
        <w:ind w:left="624" w:hanging="624"/>
      </w:pPr>
      <w:bookmarkStart w:id="46" w:name="fuente_23"/>
      <w:r>
        <w:rPr>
          <w:b/>
          <w:color w:val="1F3B63"/>
          <w:sz w:val="18"/>
        </w:rPr>
        <w:t xml:space="preserve">[23] </w:t>
      </w:r>
      <w:hyperlink r:id="rId32">
        <w:r>
          <w:rPr>
            <w:b/>
            <w:sz w:val="18"/>
          </w:rPr>
          <w:t xml:space="preserve">Garg, P (2010). </w:t>
        </w:r>
        <w:r>
          <w:rPr>
            <w:color w:val="1F3B63"/>
            <w:sz w:val="18"/>
          </w:rPr>
          <w:t>Critical Success factors for Enterprise Resource Planning implementation in Indian Retail Industry: An Exploratory study</w:t>
        </w:r>
        <w:r>
          <w:rPr>
            <w:sz w:val="18"/>
          </w:rPr>
          <w:t>. International Journal of Computer Science and Information Security 8(2).</w:t>
        </w:r>
      </w:hyperlink>
      <w:bookmarkEnd w:id="46"/>
    </w:p>
    <w:p w14:paraId="055A6631" w14:textId="77777777" w:rsidR="00FF3B0F" w:rsidRDefault="005306D5">
      <w:pPr>
        <w:spacing w:before="80" w:after="0" w:line="240" w:lineRule="auto"/>
        <w:ind w:left="624" w:hanging="624"/>
      </w:pPr>
      <w:bookmarkStart w:id="47" w:name="fuente_24"/>
      <w:r>
        <w:rPr>
          <w:b/>
          <w:color w:val="1F3B63"/>
          <w:sz w:val="18"/>
        </w:rPr>
        <w:t xml:space="preserve">[24] </w:t>
      </w:r>
      <w:hyperlink r:id="rId33">
        <w:r>
          <w:rPr>
            <w:b/>
            <w:sz w:val="18"/>
          </w:rPr>
          <w:t xml:space="preserve">Thoughtworks (2018). </w:t>
        </w:r>
        <w:r>
          <w:rPr>
            <w:color w:val="1F3B63"/>
            <w:sz w:val="18"/>
          </w:rPr>
          <w:t>Low-code platforms — Technology Radar, anillo Hold</w:t>
        </w:r>
        <w:r>
          <w:rPr>
            <w:sz w:val="18"/>
          </w:rPr>
          <w:t>. Thoughtworks Technology Radar, noviembre de 2018.</w:t>
        </w:r>
      </w:hyperlink>
      <w:bookmarkEnd w:id="47"/>
    </w:p>
    <w:p w14:paraId="780F215E" w14:textId="77777777" w:rsidR="00FF3B0F" w:rsidRDefault="005306D5">
      <w:pPr>
        <w:spacing w:before="80" w:after="0" w:line="240" w:lineRule="auto"/>
        <w:ind w:left="624" w:hanging="624"/>
      </w:pPr>
      <w:bookmarkStart w:id="48" w:name="fuente_25"/>
      <w:r>
        <w:rPr>
          <w:b/>
          <w:color w:val="1F3B63"/>
          <w:sz w:val="18"/>
        </w:rPr>
        <w:t xml:space="preserve">[25] </w:t>
      </w:r>
      <w:hyperlink r:id="rId34">
        <w:r>
          <w:rPr>
            <w:b/>
            <w:sz w:val="18"/>
          </w:rPr>
          <w:t xml:space="preserve">Deloitte (2022). </w:t>
        </w:r>
        <w:r>
          <w:rPr>
            <w:color w:val="1F3B63"/>
            <w:sz w:val="18"/>
          </w:rPr>
          <w:t>Global Outsourcing Survey 2022: Beyond outsourcing</w:t>
        </w:r>
        <w:r>
          <w:rPr>
            <w:sz w:val="18"/>
          </w:rPr>
          <w:t>. Deloitte Consulting; encuesta a más de 500 líderes de negocio y tecnología.</w:t>
        </w:r>
      </w:hyperlink>
      <w:bookmarkEnd w:id="48"/>
    </w:p>
    <w:p w14:paraId="777FFC7F" w14:textId="77777777" w:rsidR="00FF3B0F" w:rsidRDefault="005306D5">
      <w:pPr>
        <w:spacing w:before="80" w:after="0" w:line="240" w:lineRule="auto"/>
        <w:ind w:left="624" w:hanging="624"/>
      </w:pPr>
      <w:bookmarkStart w:id="49" w:name="fuente_26"/>
      <w:r>
        <w:rPr>
          <w:b/>
          <w:color w:val="1F3B63"/>
          <w:sz w:val="18"/>
        </w:rPr>
        <w:t xml:space="preserve">[26] </w:t>
      </w:r>
      <w:hyperlink r:id="rId35">
        <w:r>
          <w:rPr>
            <w:b/>
            <w:sz w:val="18"/>
          </w:rPr>
          <w:t xml:space="preserve">Nguyen-Duc, A. y Abrahamsson, P (2017). </w:t>
        </w:r>
        <w:r>
          <w:rPr>
            <w:color w:val="1F3B63"/>
            <w:sz w:val="18"/>
          </w:rPr>
          <w:t>Exploring the outsourcing relationship in software startups: A multiple case study</w:t>
        </w:r>
        <w:r>
          <w:rPr>
            <w:sz w:val="18"/>
          </w:rPr>
          <w:t>. Proceedings of EASE 2017, ACM, 134-143.</w:t>
        </w:r>
      </w:hyperlink>
      <w:bookmarkEnd w:id="49"/>
    </w:p>
    <w:p w14:paraId="04067CF7" w14:textId="77777777" w:rsidR="00FF3B0F" w:rsidRDefault="005306D5">
      <w:pPr>
        <w:spacing w:before="80" w:after="0" w:line="240" w:lineRule="auto"/>
        <w:ind w:left="624" w:hanging="624"/>
      </w:pPr>
      <w:bookmarkStart w:id="50" w:name="fuente_27"/>
      <w:r>
        <w:rPr>
          <w:b/>
          <w:color w:val="1F3B63"/>
          <w:sz w:val="18"/>
        </w:rPr>
        <w:t xml:space="preserve">[27] </w:t>
      </w:r>
      <w:hyperlink r:id="rId36">
        <w:r>
          <w:rPr>
            <w:b/>
            <w:sz w:val="18"/>
          </w:rPr>
          <w:t xml:space="preserve">Thoughtworks (2023). </w:t>
        </w:r>
        <w:r>
          <w:rPr>
            <w:color w:val="1F3B63"/>
            <w:sz w:val="18"/>
          </w:rPr>
          <w:t>Bounded low-code platforms — Technology Radar, anillo Trial</w:t>
        </w:r>
        <w:r>
          <w:rPr>
            <w:sz w:val="18"/>
          </w:rPr>
          <w:t>. Thoughtworks Technology Radar, abril de 2023.</w:t>
        </w:r>
      </w:hyperlink>
      <w:bookmarkEnd w:id="50"/>
    </w:p>
    <w:p w14:paraId="07F4C7B5" w14:textId="77777777" w:rsidR="00FF3B0F" w:rsidRDefault="005306D5">
      <w:pPr>
        <w:spacing w:before="80" w:after="0" w:line="240" w:lineRule="auto"/>
        <w:ind w:left="624" w:hanging="624"/>
      </w:pPr>
      <w:bookmarkStart w:id="51" w:name="fuente_28"/>
      <w:r>
        <w:rPr>
          <w:b/>
          <w:color w:val="1F3B63"/>
          <w:sz w:val="18"/>
        </w:rPr>
        <w:lastRenderedPageBreak/>
        <w:t xml:space="preserve">[28] </w:t>
      </w:r>
      <w:hyperlink r:id="rId37">
        <w:r>
          <w:rPr>
            <w:b/>
            <w:sz w:val="18"/>
          </w:rPr>
          <w:t xml:space="preserve">United States Department of Energy, Office of Inspector General (2000). </w:t>
        </w:r>
        <w:r>
          <w:rPr>
            <w:color w:val="1F3B63"/>
            <w:sz w:val="18"/>
          </w:rPr>
          <w:t>Audit Report: Implementation of Integrated Business Information Systems within the Department of Energy (DOE/IG-0466)</w:t>
        </w:r>
        <w:r>
          <w:rPr>
            <w:sz w:val="18"/>
          </w:rPr>
          <w:t>. Informe de auditoría del Inspector General.</w:t>
        </w:r>
      </w:hyperlink>
      <w:bookmarkEnd w:id="51"/>
    </w:p>
    <w:p w14:paraId="549E122A" w14:textId="77777777" w:rsidR="00FF3B0F" w:rsidRDefault="005306D5">
      <w:pPr>
        <w:spacing w:before="80" w:after="0" w:line="240" w:lineRule="auto"/>
        <w:ind w:left="624" w:hanging="624"/>
      </w:pPr>
      <w:bookmarkStart w:id="52" w:name="fuente_29"/>
      <w:r>
        <w:rPr>
          <w:b/>
          <w:color w:val="1F3B63"/>
          <w:sz w:val="18"/>
        </w:rPr>
        <w:t xml:space="preserve">[29] </w:t>
      </w:r>
      <w:hyperlink r:id="rId38">
        <w:r>
          <w:rPr>
            <w:b/>
            <w:sz w:val="18"/>
          </w:rPr>
          <w:t xml:space="preserve">Fowler, M. </w:t>
        </w:r>
        <w:r>
          <w:rPr>
            <w:color w:val="1F3B63"/>
            <w:sz w:val="18"/>
          </w:rPr>
          <w:t>TechnicalDebt</w:t>
        </w:r>
        <w:r>
          <w:rPr>
            <w:sz w:val="18"/>
          </w:rPr>
          <w:t>. martinfowler.com.</w:t>
        </w:r>
      </w:hyperlink>
      <w:bookmarkEnd w:id="52"/>
    </w:p>
    <w:p w14:paraId="4F2BC3ED" w14:textId="77777777" w:rsidR="00FF3B0F" w:rsidRDefault="005306D5">
      <w:pPr>
        <w:spacing w:before="80" w:after="0" w:line="240" w:lineRule="auto"/>
        <w:ind w:left="624" w:hanging="624"/>
      </w:pPr>
      <w:bookmarkStart w:id="53" w:name="fuente_30"/>
      <w:r>
        <w:rPr>
          <w:b/>
          <w:color w:val="1F3B63"/>
          <w:sz w:val="18"/>
        </w:rPr>
        <w:t xml:space="preserve">[30] </w:t>
      </w:r>
      <w:hyperlink r:id="rId39">
        <w:r>
          <w:rPr>
            <w:b/>
            <w:sz w:val="18"/>
          </w:rPr>
          <w:t xml:space="preserve">National Audit Office (2013). </w:t>
        </w:r>
        <w:r>
          <w:rPr>
            <w:color w:val="1F3B63"/>
            <w:sz w:val="18"/>
          </w:rPr>
          <w:t>Over-optimism in government projects</w:t>
        </w:r>
        <w:r>
          <w:rPr>
            <w:sz w:val="18"/>
          </w:rPr>
          <w:t>. Informe del organismo de control del gasto público del Reino Unido.</w:t>
        </w:r>
      </w:hyperlink>
      <w:bookmarkEnd w:id="53"/>
    </w:p>
    <w:p w14:paraId="5D083FCD" w14:textId="77777777" w:rsidR="00FF3B0F" w:rsidRDefault="005306D5">
      <w:pPr>
        <w:spacing w:before="80" w:after="0" w:line="240" w:lineRule="auto"/>
        <w:ind w:left="624" w:hanging="624"/>
      </w:pPr>
      <w:bookmarkStart w:id="54" w:name="fuente_31"/>
      <w:r>
        <w:rPr>
          <w:b/>
          <w:color w:val="1F3B63"/>
          <w:sz w:val="18"/>
        </w:rPr>
        <w:t xml:space="preserve">[31] </w:t>
      </w:r>
      <w:hyperlink r:id="rId40">
        <w:r>
          <w:rPr>
            <w:b/>
            <w:sz w:val="18"/>
          </w:rPr>
          <w:t xml:space="preserve">Jaberzadeh Ansari, M. y Barcomb, A (2025). </w:t>
        </w:r>
        <w:r>
          <w:rPr>
            <w:color w:val="1F3B63"/>
            <w:sz w:val="18"/>
          </w:rPr>
          <w:t>A Survey for What Developers Require in AI-powered Tools that Aid in Component Selection in CBSD</w:t>
        </w:r>
        <w:r>
          <w:rPr>
            <w:sz w:val="18"/>
          </w:rPr>
          <w:t>. Preprint, University of Calgary.</w:t>
        </w:r>
      </w:hyperlink>
      <w:bookmarkEnd w:id="54"/>
    </w:p>
    <w:p w14:paraId="20847A1C" w14:textId="77777777" w:rsidR="00FF3B0F" w:rsidRDefault="005306D5">
      <w:pPr>
        <w:spacing w:before="80" w:after="0" w:line="240" w:lineRule="auto"/>
        <w:ind w:left="624" w:hanging="624"/>
      </w:pPr>
      <w:bookmarkStart w:id="55" w:name="fuente_32"/>
      <w:r>
        <w:rPr>
          <w:b/>
          <w:color w:val="1F3B63"/>
          <w:sz w:val="18"/>
        </w:rPr>
        <w:t xml:space="preserve">[32] </w:t>
      </w:r>
      <w:hyperlink r:id="rId41">
        <w:r>
          <w:rPr>
            <w:b/>
            <w:sz w:val="18"/>
          </w:rPr>
          <w:t xml:space="preserve">Eveleens, J. L. y Verhoef, C (2010). </w:t>
        </w:r>
        <w:r>
          <w:rPr>
            <w:color w:val="1F3B63"/>
            <w:sz w:val="18"/>
          </w:rPr>
          <w:t>The Rise and Fall of the Chaos Report Figures</w:t>
        </w:r>
        <w:r>
          <w:rPr>
            <w:sz w:val="18"/>
          </w:rPr>
          <w:t>. IEEE Software 27(1), 30-36.</w:t>
        </w:r>
      </w:hyperlink>
      <w:bookmarkEnd w:id="55"/>
    </w:p>
    <w:p w14:paraId="154D4776" w14:textId="77777777" w:rsidR="00FF3B0F" w:rsidRDefault="005306D5">
      <w:pPr>
        <w:spacing w:before="80" w:after="0" w:line="240" w:lineRule="auto"/>
        <w:ind w:left="624" w:hanging="624"/>
      </w:pPr>
      <w:bookmarkStart w:id="56" w:name="fuente_33"/>
      <w:r>
        <w:rPr>
          <w:b/>
          <w:color w:val="1F3B63"/>
          <w:sz w:val="18"/>
        </w:rPr>
        <w:t xml:space="preserve">[33] </w:t>
      </w:r>
      <w:hyperlink r:id="rId42">
        <w:r>
          <w:rPr>
            <w:b/>
            <w:sz w:val="18"/>
          </w:rPr>
          <w:t xml:space="preserve">Méndez Fernández, D., Wagner, S., Kalinowski, M. et al (2016). </w:t>
        </w:r>
        <w:r>
          <w:rPr>
            <w:color w:val="1F3B63"/>
            <w:sz w:val="18"/>
          </w:rPr>
          <w:t>Naming the Pain in Requirements Engineering: Contemporary Problems, Causes, and Effects in Practice</w:t>
        </w:r>
        <w:r>
          <w:rPr>
            <w:sz w:val="18"/>
          </w:rPr>
          <w:t>. Empirical Software Engineering.</w:t>
        </w:r>
      </w:hyperlink>
      <w:bookmarkEnd w:id="56"/>
    </w:p>
    <w:p w14:paraId="50BB31B0" w14:textId="77777777" w:rsidR="00FF3B0F" w:rsidRDefault="005306D5">
      <w:pPr>
        <w:spacing w:before="80" w:after="0" w:line="240" w:lineRule="auto"/>
        <w:ind w:left="624" w:hanging="624"/>
      </w:pPr>
      <w:bookmarkStart w:id="57" w:name="fuente_34"/>
      <w:r>
        <w:rPr>
          <w:b/>
          <w:color w:val="1F3B63"/>
          <w:sz w:val="18"/>
        </w:rPr>
        <w:t xml:space="preserve">[34] </w:t>
      </w:r>
      <w:hyperlink r:id="rId43">
        <w:r>
          <w:rPr>
            <w:b/>
            <w:sz w:val="18"/>
          </w:rPr>
          <w:t xml:space="preserve">Panorama Consulting Group (2026). </w:t>
        </w:r>
        <w:r>
          <w:rPr>
            <w:color w:val="1F3B63"/>
            <w:sz w:val="18"/>
          </w:rPr>
          <w:t>ERP Report</w:t>
        </w:r>
        <w:r>
          <w:rPr>
            <w:sz w:val="18"/>
          </w:rPr>
          <w:t>. Estudio anual de resultados de implementaciones de ERP.</w:t>
        </w:r>
      </w:hyperlink>
      <w:bookmarkEnd w:id="57"/>
    </w:p>
    <w:p w14:paraId="386E1324" w14:textId="77777777" w:rsidR="00FF3B0F" w:rsidRDefault="005306D5">
      <w:pPr>
        <w:spacing w:before="80" w:after="0" w:line="240" w:lineRule="auto"/>
        <w:ind w:left="624" w:hanging="624"/>
      </w:pPr>
      <w:bookmarkStart w:id="58" w:name="fuente_35"/>
      <w:r>
        <w:rPr>
          <w:b/>
          <w:color w:val="1F3B63"/>
          <w:sz w:val="18"/>
        </w:rPr>
        <w:t xml:space="preserve">[35] </w:t>
      </w:r>
      <w:hyperlink r:id="rId44">
        <w:r>
          <w:rPr>
            <w:b/>
            <w:sz w:val="18"/>
          </w:rPr>
          <w:t xml:space="preserve">United States Government Accountability Office (2004). </w:t>
        </w:r>
        <w:r>
          <w:rPr>
            <w:color w:val="1F3B63"/>
            <w:sz w:val="18"/>
          </w:rPr>
          <w:t>Information Technology: DOD's Acquisition Policies and Guidance Need to Incorporate Additional Best Practices and Controls (GAO-04-722)</w:t>
        </w:r>
        <w:r>
          <w:rPr>
            <w:sz w:val="18"/>
          </w:rPr>
          <w:t>. Informe al Congreso de los Estados Unidos.</w:t>
        </w:r>
      </w:hyperlink>
      <w:bookmarkEnd w:id="58"/>
    </w:p>
    <w:p w14:paraId="71E11CA0" w14:textId="77777777" w:rsidR="00FF3B0F" w:rsidRDefault="005306D5">
      <w:pPr>
        <w:spacing w:before="80" w:after="0" w:line="240" w:lineRule="auto"/>
        <w:ind w:left="624" w:hanging="624"/>
      </w:pPr>
      <w:bookmarkStart w:id="59" w:name="fuente_36"/>
      <w:r>
        <w:rPr>
          <w:b/>
          <w:color w:val="1F3B63"/>
          <w:sz w:val="18"/>
        </w:rPr>
        <w:t xml:space="preserve">[36] </w:t>
      </w:r>
      <w:hyperlink r:id="rId45">
        <w:r>
          <w:rPr>
            <w:b/>
            <w:sz w:val="18"/>
          </w:rPr>
          <w:t xml:space="preserve">National Institute of Standards and Technology (2022). </w:t>
        </w:r>
        <w:r>
          <w:rPr>
            <w:color w:val="1F3B63"/>
            <w:sz w:val="18"/>
          </w:rPr>
          <w:t>SP 800-218: Secure Software Development Framework (SSDF) v1.1</w:t>
        </w:r>
        <w:r>
          <w:rPr>
            <w:sz w:val="18"/>
          </w:rPr>
          <w:t>. NIST Special Publication.</w:t>
        </w:r>
      </w:hyperlink>
      <w:bookmarkEnd w:id="59"/>
    </w:p>
    <w:p w14:paraId="64140A14" w14:textId="77777777" w:rsidR="00FF3B0F" w:rsidRDefault="005306D5">
      <w:pPr>
        <w:spacing w:before="80" w:after="0" w:line="240" w:lineRule="auto"/>
        <w:ind w:left="624" w:hanging="624"/>
      </w:pPr>
      <w:bookmarkStart w:id="60" w:name="fuente_37"/>
      <w:r>
        <w:rPr>
          <w:b/>
          <w:color w:val="1F3B63"/>
          <w:sz w:val="18"/>
        </w:rPr>
        <w:t xml:space="preserve">[37] </w:t>
      </w:r>
      <w:hyperlink r:id="rId46">
        <w:r>
          <w:rPr>
            <w:b/>
            <w:sz w:val="18"/>
          </w:rPr>
          <w:t xml:space="preserve">SAP SE (2025). </w:t>
        </w:r>
        <w:r>
          <w:rPr>
            <w:color w:val="1F3B63"/>
            <w:sz w:val="18"/>
          </w:rPr>
          <w:t>Annual Report on Form 20-F for the year ended December 31, 2024</w:t>
        </w:r>
        <w:r>
          <w:rPr>
            <w:sz w:val="18"/>
          </w:rPr>
          <w:t>. Presentación ante la Securities and Exchange Commission de los Estados Unidos.</w:t>
        </w:r>
      </w:hyperlink>
      <w:bookmarkEnd w:id="60"/>
    </w:p>
    <w:p w14:paraId="6FD38717" w14:textId="77777777" w:rsidR="00FF3B0F" w:rsidRDefault="005306D5">
      <w:pPr>
        <w:spacing w:before="80" w:after="0" w:line="240" w:lineRule="auto"/>
        <w:ind w:left="624" w:hanging="624"/>
      </w:pPr>
      <w:bookmarkStart w:id="61" w:name="fuente_38"/>
      <w:r>
        <w:rPr>
          <w:b/>
          <w:color w:val="1F3B63"/>
          <w:sz w:val="18"/>
        </w:rPr>
        <w:t xml:space="preserve">[38] </w:t>
      </w:r>
      <w:hyperlink r:id="rId47">
        <w:r>
          <w:rPr>
            <w:b/>
            <w:sz w:val="18"/>
          </w:rPr>
          <w:t xml:space="preserve">Microsoft Corporation (2026). </w:t>
        </w:r>
        <w:r>
          <w:rPr>
            <w:color w:val="1F3B63"/>
            <w:sz w:val="18"/>
          </w:rPr>
          <w:t>Annual Report on Form 10-K for the fiscal year ended June 30, 2026</w:t>
        </w:r>
        <w:r>
          <w:rPr>
            <w:sz w:val="18"/>
          </w:rPr>
          <w:t>. Presentación ante la Securities and Exchange Commission de los Estados Unidos.</w:t>
        </w:r>
      </w:hyperlink>
      <w:bookmarkEnd w:id="61"/>
    </w:p>
    <w:p w14:paraId="20F277CA" w14:textId="77777777" w:rsidR="00FF3B0F" w:rsidRDefault="005306D5">
      <w:pPr>
        <w:spacing w:before="80" w:after="0" w:line="240" w:lineRule="auto"/>
        <w:ind w:left="624" w:hanging="624"/>
      </w:pPr>
      <w:bookmarkStart w:id="62" w:name="fuente_39"/>
      <w:r>
        <w:rPr>
          <w:b/>
          <w:color w:val="1F3B63"/>
          <w:sz w:val="18"/>
        </w:rPr>
        <w:t xml:space="preserve">[39] </w:t>
      </w:r>
      <w:hyperlink r:id="rId48">
        <w:r>
          <w:rPr>
            <w:b/>
            <w:sz w:val="18"/>
          </w:rPr>
          <w:t xml:space="preserve">Oracle Corporation (2026). </w:t>
        </w:r>
        <w:r>
          <w:rPr>
            <w:color w:val="1F3B63"/>
            <w:sz w:val="18"/>
          </w:rPr>
          <w:t>Annual Report on Form 10-K for the fiscal year ended May 31, 2026</w:t>
        </w:r>
        <w:r>
          <w:rPr>
            <w:sz w:val="18"/>
          </w:rPr>
          <w:t>. Presentación ante la Securities and Exchange Commission de los Estados Unidos.</w:t>
        </w:r>
      </w:hyperlink>
      <w:bookmarkEnd w:id="62"/>
    </w:p>
    <w:p w14:paraId="10EA52BB" w14:textId="77777777" w:rsidR="00FF3B0F" w:rsidRDefault="005306D5">
      <w:pPr>
        <w:spacing w:before="80" w:after="0" w:line="240" w:lineRule="auto"/>
        <w:ind w:left="624" w:hanging="624"/>
      </w:pPr>
      <w:bookmarkStart w:id="63" w:name="fuente_40"/>
      <w:r>
        <w:rPr>
          <w:b/>
          <w:color w:val="1F3B63"/>
          <w:sz w:val="18"/>
        </w:rPr>
        <w:t xml:space="preserve">[40] </w:t>
      </w:r>
      <w:hyperlink r:id="rId49">
        <w:r>
          <w:rPr>
            <w:b/>
            <w:sz w:val="18"/>
          </w:rPr>
          <w:t xml:space="preserve">Ye, Y. et al (2018). </w:t>
        </w:r>
        <w:r>
          <w:rPr>
            <w:color w:val="1F3B63"/>
            <w:sz w:val="18"/>
          </w:rPr>
          <w:t>Open Source Software Sustainability Models: Initial White Paper from the Informatics Technology for Cancer Research Sustainability and Industry Partnership Work Group</w:t>
        </w:r>
        <w:r>
          <w:rPr>
            <w:sz w:val="18"/>
          </w:rPr>
          <w:t>. Documento de trabajo del programa Informatics Technology for Cancer Research.</w:t>
        </w:r>
      </w:hyperlink>
      <w:bookmarkEnd w:id="63"/>
    </w:p>
    <w:p w14:paraId="08749B51" w14:textId="77777777" w:rsidR="00FF3B0F" w:rsidRDefault="005306D5">
      <w:pPr>
        <w:spacing w:before="80" w:after="0" w:line="240" w:lineRule="auto"/>
        <w:ind w:left="624" w:hanging="624"/>
      </w:pPr>
      <w:bookmarkStart w:id="64" w:name="fuente_41"/>
      <w:r>
        <w:rPr>
          <w:b/>
          <w:color w:val="1F3B63"/>
          <w:sz w:val="18"/>
        </w:rPr>
        <w:t xml:space="preserve">[41] </w:t>
      </w:r>
      <w:hyperlink r:id="rId50">
        <w:r>
          <w:rPr>
            <w:b/>
            <w:sz w:val="18"/>
          </w:rPr>
          <w:t xml:space="preserve">Microsoft Corporation (2020). </w:t>
        </w:r>
        <w:r>
          <w:rPr>
            <w:color w:val="1F3B63"/>
            <w:sz w:val="18"/>
          </w:rPr>
          <w:t>Service Level Agreements summary for Azure services</w:t>
        </w:r>
        <w:r>
          <w:rPr>
            <w:sz w:val="18"/>
          </w:rPr>
          <w:t>. Resumen de acuerdos de nivel de servicio del fabricante.</w:t>
        </w:r>
      </w:hyperlink>
      <w:bookmarkEnd w:id="64"/>
    </w:p>
    <w:p w14:paraId="7C771B8F" w14:textId="77777777" w:rsidR="00FF3B0F" w:rsidRDefault="005306D5">
      <w:pPr>
        <w:spacing w:before="80" w:after="0" w:line="240" w:lineRule="auto"/>
        <w:ind w:left="624" w:hanging="624"/>
      </w:pPr>
      <w:bookmarkStart w:id="65" w:name="fuente_42"/>
      <w:r>
        <w:rPr>
          <w:b/>
          <w:color w:val="1F3B63"/>
          <w:sz w:val="18"/>
        </w:rPr>
        <w:t xml:space="preserve">[42] </w:t>
      </w:r>
      <w:hyperlink r:id="rId51">
        <w:r>
          <w:rPr>
            <w:b/>
            <w:sz w:val="18"/>
          </w:rPr>
          <w:t xml:space="preserve">Muñoz Chará, J. et al (2022). </w:t>
        </w:r>
        <w:r>
          <w:rPr>
            <w:color w:val="1F3B63"/>
            <w:sz w:val="18"/>
          </w:rPr>
          <w:t>Sistema ERP para las pyme en América Latina</w:t>
        </w:r>
        <w:r>
          <w:rPr>
            <w:sz w:val="18"/>
          </w:rPr>
          <w:t>. Ingeniería Solidaria, 18(1).</w:t>
        </w:r>
      </w:hyperlink>
      <w:bookmarkEnd w:id="65"/>
    </w:p>
    <w:p w14:paraId="00693271" w14:textId="77777777" w:rsidR="00FF3B0F" w:rsidRDefault="005306D5">
      <w:pPr>
        <w:spacing w:before="80" w:after="0" w:line="240" w:lineRule="auto"/>
        <w:ind w:left="624" w:hanging="624"/>
      </w:pPr>
      <w:bookmarkStart w:id="66" w:name="fuente_43"/>
      <w:r>
        <w:rPr>
          <w:b/>
          <w:color w:val="1F3B63"/>
          <w:sz w:val="18"/>
        </w:rPr>
        <w:t xml:space="preserve">[43] </w:t>
      </w:r>
      <w:hyperlink r:id="rId52">
        <w:r>
          <w:rPr>
            <w:b/>
            <w:sz w:val="18"/>
          </w:rPr>
          <w:t xml:space="preserve">Sancar Gozukara, S., Tekinerdogan, B. y Catal, C (2020). </w:t>
        </w:r>
        <w:r>
          <w:rPr>
            <w:color w:val="1F3B63"/>
            <w:sz w:val="18"/>
          </w:rPr>
          <w:t>Obstacles of On-Premise Enterprise Resource Planning Systems and Solution Directions</w:t>
        </w:r>
        <w:r>
          <w:rPr>
            <w:sz w:val="18"/>
          </w:rPr>
          <w:t>. Journal of Computer Information Systems.</w:t>
        </w:r>
      </w:hyperlink>
      <w:bookmarkEnd w:id="66"/>
    </w:p>
    <w:p w14:paraId="5EC0C555" w14:textId="77777777" w:rsidR="00FF3B0F" w:rsidRDefault="005306D5">
      <w:pPr>
        <w:spacing w:before="80" w:after="0" w:line="240" w:lineRule="auto"/>
        <w:ind w:left="624" w:hanging="624"/>
      </w:pPr>
      <w:bookmarkStart w:id="67" w:name="fuente_44"/>
      <w:r>
        <w:rPr>
          <w:b/>
          <w:color w:val="1F3B63"/>
          <w:sz w:val="18"/>
        </w:rPr>
        <w:t xml:space="preserve">[44] </w:t>
      </w:r>
      <w:hyperlink r:id="rId53">
        <w:r>
          <w:rPr>
            <w:b/>
            <w:sz w:val="18"/>
          </w:rPr>
          <w:t xml:space="preserve">Cámara de los Comunes de Canadá, Comité Permanente de Cuentas Públicas (2018). </w:t>
        </w:r>
        <w:r>
          <w:rPr>
            <w:color w:val="1F3B63"/>
            <w:sz w:val="18"/>
          </w:rPr>
          <w:t>Report 53: Building and Implementing the Phoenix Pay System</w:t>
        </w:r>
        <w:r>
          <w:rPr>
            <w:sz w:val="18"/>
          </w:rPr>
          <w:t>. Informe del Comité, 42.º Parlamento, 1.ª sesión.</w:t>
        </w:r>
      </w:hyperlink>
      <w:bookmarkEnd w:id="67"/>
    </w:p>
    <w:p w14:paraId="245F3522" w14:textId="77777777" w:rsidR="00FF3B0F" w:rsidRDefault="005306D5">
      <w:pPr>
        <w:spacing w:before="80" w:after="0" w:line="240" w:lineRule="auto"/>
        <w:ind w:left="624" w:hanging="624"/>
      </w:pPr>
      <w:bookmarkStart w:id="68" w:name="fuente_45"/>
      <w:r>
        <w:rPr>
          <w:b/>
          <w:color w:val="1F3B63"/>
          <w:sz w:val="18"/>
        </w:rPr>
        <w:t xml:space="preserve">[45] </w:t>
      </w:r>
      <w:hyperlink r:id="rId54">
        <w:r>
          <w:rPr>
            <w:b/>
            <w:sz w:val="18"/>
          </w:rPr>
          <w:t xml:space="preserve">United States Government Accountability Office (2011). </w:t>
        </w:r>
        <w:r>
          <w:rPr>
            <w:color w:val="1F3B63"/>
            <w:sz w:val="18"/>
          </w:rPr>
          <w:t>Information Technology: Critical Factors Underlying Successful Major Acquisitions (GAO-12-7)</w:t>
        </w:r>
        <w:r>
          <w:rPr>
            <w:sz w:val="18"/>
          </w:rPr>
          <w:t>. Informe a comisiones del Congreso de los Estados Unidos.</w:t>
        </w:r>
      </w:hyperlink>
      <w:bookmarkEnd w:id="68"/>
    </w:p>
    <w:p w14:paraId="738626C0" w14:textId="77777777" w:rsidR="00FF3B0F" w:rsidRDefault="005306D5">
      <w:pPr>
        <w:spacing w:before="80" w:after="0" w:line="240" w:lineRule="auto"/>
        <w:ind w:left="624" w:hanging="624"/>
      </w:pPr>
      <w:bookmarkStart w:id="69" w:name="fuente_46"/>
      <w:r>
        <w:rPr>
          <w:b/>
          <w:color w:val="1F3B63"/>
          <w:sz w:val="18"/>
        </w:rPr>
        <w:t xml:space="preserve">[46] </w:t>
      </w:r>
      <w:hyperlink r:id="rId55">
        <w:r>
          <w:rPr>
            <w:b/>
            <w:sz w:val="18"/>
          </w:rPr>
          <w:t xml:space="preserve">Microsoft Corporation (2026). </w:t>
        </w:r>
        <w:r>
          <w:rPr>
            <w:color w:val="1F3B63"/>
            <w:sz w:val="18"/>
          </w:rPr>
          <w:t>Accessibility Conformance Reports</w:t>
        </w:r>
        <w:r>
          <w:rPr>
            <w:sz w:val="18"/>
          </w:rPr>
          <w:t>. Sitio de accesibilidad del fabricante.</w:t>
        </w:r>
      </w:hyperlink>
      <w:bookmarkEnd w:id="69"/>
    </w:p>
    <w:p w14:paraId="7C8985F0" w14:textId="77777777" w:rsidR="00FF3B0F" w:rsidRDefault="005306D5">
      <w:pPr>
        <w:spacing w:before="80" w:after="0" w:line="240" w:lineRule="auto"/>
        <w:ind w:left="624" w:hanging="624"/>
      </w:pPr>
      <w:bookmarkStart w:id="70" w:name="fuente_47"/>
      <w:r>
        <w:rPr>
          <w:b/>
          <w:color w:val="1F3B63"/>
          <w:sz w:val="18"/>
        </w:rPr>
        <w:t xml:space="preserve">[47] </w:t>
      </w:r>
      <w:hyperlink r:id="rId56">
        <w:r>
          <w:rPr>
            <w:b/>
            <w:sz w:val="18"/>
          </w:rPr>
          <w:t xml:space="preserve">Weber, I (2025). </w:t>
        </w:r>
        <w:r>
          <w:rPr>
            <w:color w:val="1F3B63"/>
            <w:sz w:val="18"/>
          </w:rPr>
          <w:t>Feasibility of AI-Assisted Programming for End-User Development</w:t>
        </w:r>
        <w:r>
          <w:rPr>
            <w:sz w:val="18"/>
          </w:rPr>
          <w:t>. Preprint aceptado en NLPIR 2025.</w:t>
        </w:r>
      </w:hyperlink>
      <w:bookmarkEnd w:id="70"/>
    </w:p>
    <w:p w14:paraId="42E4417F" w14:textId="77777777" w:rsidR="00FF3B0F" w:rsidRDefault="005306D5">
      <w:pPr>
        <w:spacing w:before="80" w:after="0" w:line="240" w:lineRule="auto"/>
        <w:ind w:left="624" w:hanging="624"/>
      </w:pPr>
      <w:bookmarkStart w:id="71" w:name="fuente_48"/>
      <w:r>
        <w:rPr>
          <w:b/>
          <w:color w:val="1F3B63"/>
          <w:sz w:val="18"/>
        </w:rPr>
        <w:t xml:space="preserve">[48] </w:t>
      </w:r>
      <w:hyperlink r:id="rId57">
        <w:r>
          <w:rPr>
            <w:b/>
            <w:sz w:val="18"/>
          </w:rPr>
          <w:t xml:space="preserve">Xia, B. et al (2023). </w:t>
        </w:r>
        <w:r>
          <w:rPr>
            <w:color w:val="1F3B63"/>
            <w:sz w:val="18"/>
          </w:rPr>
          <w:t>An Empirical Study on Software Bill of Materials: Where We Stand and the Road Ahead</w:t>
        </w:r>
        <w:r>
          <w:rPr>
            <w:sz w:val="18"/>
          </w:rPr>
          <w:t>. Preprint.</w:t>
        </w:r>
      </w:hyperlink>
      <w:bookmarkEnd w:id="71"/>
    </w:p>
    <w:p w14:paraId="49B181F9" w14:textId="77777777" w:rsidR="00FF3B0F" w:rsidRDefault="005306D5">
      <w:pPr>
        <w:spacing w:before="80" w:after="0" w:line="240" w:lineRule="auto"/>
        <w:ind w:left="624" w:hanging="624"/>
      </w:pPr>
      <w:bookmarkStart w:id="72" w:name="fuente_49"/>
      <w:r>
        <w:rPr>
          <w:b/>
          <w:color w:val="1F3B63"/>
          <w:sz w:val="18"/>
        </w:rPr>
        <w:t xml:space="preserve">[49] </w:t>
      </w:r>
      <w:hyperlink r:id="rId58">
        <w:r>
          <w:rPr>
            <w:b/>
            <w:sz w:val="18"/>
          </w:rPr>
          <w:t xml:space="preserve">CISA / NTIA (2024). </w:t>
        </w:r>
        <w:r>
          <w:rPr>
            <w:color w:val="1F3B63"/>
            <w:sz w:val="18"/>
          </w:rPr>
          <w:t>Framing Software Component Transparency: Establishing a Common Software Bill of Materials (SBOM), 3.ª edición</w:t>
        </w:r>
        <w:r>
          <w:rPr>
            <w:sz w:val="18"/>
          </w:rPr>
          <w:t>. Cybersecurity and Infrastructure Security Agency.</w:t>
        </w:r>
      </w:hyperlink>
      <w:bookmarkEnd w:id="72"/>
    </w:p>
    <w:p w14:paraId="39D40952" w14:textId="77777777" w:rsidR="00FF3B0F" w:rsidRDefault="005306D5">
      <w:pPr>
        <w:spacing w:before="80" w:after="0" w:line="240" w:lineRule="auto"/>
        <w:ind w:left="624" w:hanging="624"/>
      </w:pPr>
      <w:bookmarkStart w:id="73" w:name="fuente_50"/>
      <w:r>
        <w:rPr>
          <w:b/>
          <w:color w:val="1F3B63"/>
          <w:sz w:val="18"/>
        </w:rPr>
        <w:t xml:space="preserve">[50] </w:t>
      </w:r>
      <w:hyperlink r:id="rId59">
        <w:r>
          <w:rPr>
            <w:b/>
            <w:sz w:val="18"/>
          </w:rPr>
          <w:t xml:space="preserve">Amazon Web Services (2026). </w:t>
        </w:r>
        <w:r>
          <w:rPr>
            <w:color w:val="1F3B63"/>
            <w:sz w:val="18"/>
          </w:rPr>
          <w:t>Unpicking Vendor Lock-in: A guide to understanding and mitigating switching costs when changing your Cloud Services Provider</w:t>
        </w:r>
        <w:r>
          <w:rPr>
            <w:sz w:val="18"/>
          </w:rPr>
          <w:t>. AWS Whitepaper.</w:t>
        </w:r>
      </w:hyperlink>
      <w:bookmarkEnd w:id="73"/>
    </w:p>
    <w:p w14:paraId="16765CCB" w14:textId="77777777" w:rsidR="00FF3B0F" w:rsidRDefault="005306D5">
      <w:pPr>
        <w:spacing w:before="80" w:after="0" w:line="240" w:lineRule="auto"/>
        <w:ind w:left="624" w:hanging="624"/>
      </w:pPr>
      <w:bookmarkStart w:id="74" w:name="fuente_51"/>
      <w:r>
        <w:rPr>
          <w:b/>
          <w:color w:val="1F3B63"/>
          <w:sz w:val="18"/>
        </w:rPr>
        <w:t xml:space="preserve">[51] </w:t>
      </w:r>
      <w:hyperlink r:id="rId60">
        <w:r>
          <w:rPr>
            <w:b/>
            <w:sz w:val="18"/>
          </w:rPr>
          <w:t xml:space="preserve">National Audit Office (2025). </w:t>
        </w:r>
        <w:r>
          <w:rPr>
            <w:color w:val="1F3B63"/>
            <w:sz w:val="18"/>
          </w:rPr>
          <w:t>Government's approach to technology suppliers: addressing the challenges</w:t>
        </w:r>
        <w:r>
          <w:rPr>
            <w:sz w:val="18"/>
          </w:rPr>
          <w:t>. Informe al Parlamento del Reino Unido, HC 543.</w:t>
        </w:r>
      </w:hyperlink>
      <w:bookmarkEnd w:id="74"/>
    </w:p>
    <w:p w14:paraId="55D28E98" w14:textId="77777777" w:rsidR="00FF3B0F" w:rsidRDefault="005306D5">
      <w:pPr>
        <w:spacing w:before="80" w:after="0" w:line="240" w:lineRule="auto"/>
        <w:ind w:left="624" w:hanging="624"/>
      </w:pPr>
      <w:bookmarkStart w:id="75" w:name="fuente_52"/>
      <w:r>
        <w:rPr>
          <w:b/>
          <w:color w:val="1F3B63"/>
          <w:sz w:val="18"/>
        </w:rPr>
        <w:t xml:space="preserve">[52] </w:t>
      </w:r>
      <w:hyperlink r:id="rId61">
        <w:r>
          <w:rPr>
            <w:b/>
            <w:sz w:val="18"/>
          </w:rPr>
          <w:t xml:space="preserve">W3C (2024). </w:t>
        </w:r>
        <w:r>
          <w:rPr>
            <w:color w:val="1F3B63"/>
            <w:sz w:val="18"/>
          </w:rPr>
          <w:t>Web Content Accessibility Guidelines (WCAG) 2.2</w:t>
        </w:r>
        <w:r>
          <w:rPr>
            <w:sz w:val="18"/>
          </w:rPr>
          <w:t>. Recomendación W3C del 12 de diciembre de 2024.</w:t>
        </w:r>
      </w:hyperlink>
      <w:bookmarkEnd w:id="75"/>
    </w:p>
    <w:p w14:paraId="09B53590" w14:textId="77777777" w:rsidR="00FF3B0F" w:rsidRDefault="005306D5">
      <w:pPr>
        <w:spacing w:before="80" w:after="0" w:line="240" w:lineRule="auto"/>
        <w:ind w:left="624" w:hanging="624"/>
      </w:pPr>
      <w:bookmarkStart w:id="76" w:name="fuente_53"/>
      <w:r>
        <w:rPr>
          <w:b/>
          <w:color w:val="1F3B63"/>
          <w:sz w:val="18"/>
        </w:rPr>
        <w:t xml:space="preserve">[53] </w:t>
      </w:r>
      <w:hyperlink r:id="rId62">
        <w:r>
          <w:rPr>
            <w:b/>
            <w:sz w:val="18"/>
          </w:rPr>
          <w:t xml:space="preserve">Fowler, M. </w:t>
        </w:r>
        <w:r>
          <w:rPr>
            <w:color w:val="1F3B63"/>
            <w:sz w:val="18"/>
          </w:rPr>
          <w:t>ConwaysLaw</w:t>
        </w:r>
        <w:r>
          <w:rPr>
            <w:sz w:val="18"/>
          </w:rPr>
          <w:t>. martinfowler.com.</w:t>
        </w:r>
      </w:hyperlink>
      <w:bookmarkEnd w:id="76"/>
    </w:p>
    <w:p w14:paraId="07D48EB6" w14:textId="77777777" w:rsidR="00FF3B0F" w:rsidRDefault="005306D5">
      <w:pPr>
        <w:spacing w:before="80" w:after="0" w:line="240" w:lineRule="auto"/>
        <w:ind w:left="624" w:hanging="624"/>
      </w:pPr>
      <w:bookmarkStart w:id="77" w:name="fuente_54"/>
      <w:r>
        <w:rPr>
          <w:b/>
          <w:color w:val="1F3B63"/>
          <w:sz w:val="18"/>
        </w:rPr>
        <w:t xml:space="preserve">[54] </w:t>
      </w:r>
      <w:hyperlink r:id="rId63">
        <w:r>
          <w:rPr>
            <w:b/>
            <w:sz w:val="18"/>
          </w:rPr>
          <w:t xml:space="preserve">Conway, M. E (1968). </w:t>
        </w:r>
        <w:r>
          <w:rPr>
            <w:color w:val="1F3B63"/>
            <w:sz w:val="18"/>
          </w:rPr>
          <w:t>How Do Committees Invent?</w:t>
        </w:r>
        <w:r>
          <w:rPr>
            <w:sz w:val="18"/>
          </w:rPr>
          <w:t>. Datamation 14(5), 28-31.</w:t>
        </w:r>
      </w:hyperlink>
      <w:bookmarkEnd w:id="77"/>
    </w:p>
    <w:p w14:paraId="007394D8" w14:textId="77777777" w:rsidR="00FF3B0F" w:rsidRDefault="005306D5">
      <w:pPr>
        <w:spacing w:before="80" w:after="0" w:line="240" w:lineRule="auto"/>
        <w:ind w:left="624" w:hanging="624"/>
      </w:pPr>
      <w:bookmarkStart w:id="78" w:name="fuente_55"/>
      <w:r>
        <w:rPr>
          <w:b/>
          <w:color w:val="1F3B63"/>
          <w:sz w:val="18"/>
        </w:rPr>
        <w:t xml:space="preserve">[55] </w:t>
      </w:r>
      <w:hyperlink r:id="rId64">
        <w:r>
          <w:rPr>
            <w:b/>
            <w:sz w:val="18"/>
          </w:rPr>
          <w:t xml:space="preserve">Tribunal de Cuentas Europeo (2018). </w:t>
        </w:r>
        <w:r>
          <w:rPr>
            <w:color w:val="1F3B63"/>
            <w:sz w:val="18"/>
          </w:rPr>
          <w:t>Informe Especial n.º 26/2018: A series of delays in Customs IT systems: what went wrong?</w:t>
        </w:r>
        <w:r>
          <w:rPr>
            <w:sz w:val="18"/>
          </w:rPr>
          <w:t>. Informe Especial del Tribunal de Cuentas Europeo.</w:t>
        </w:r>
      </w:hyperlink>
      <w:bookmarkEnd w:id="78"/>
    </w:p>
    <w:p w14:paraId="6D21C2D6" w14:textId="77777777" w:rsidR="00FF3B0F" w:rsidRDefault="005306D5">
      <w:pPr>
        <w:spacing w:before="80" w:after="0" w:line="240" w:lineRule="auto"/>
        <w:ind w:left="624" w:hanging="624"/>
      </w:pPr>
      <w:bookmarkStart w:id="79" w:name="fuente_56"/>
      <w:r>
        <w:rPr>
          <w:b/>
          <w:color w:val="1F3B63"/>
          <w:sz w:val="18"/>
        </w:rPr>
        <w:t xml:space="preserve">[56] </w:t>
      </w:r>
      <w:hyperlink r:id="rId65">
        <w:r>
          <w:rPr>
            <w:b/>
            <w:sz w:val="18"/>
          </w:rPr>
          <w:t xml:space="preserve">Williams, L. et al (2025). </w:t>
        </w:r>
        <w:r>
          <w:rPr>
            <w:color w:val="1F3B63"/>
            <w:sz w:val="18"/>
          </w:rPr>
          <w:t>Establishing a Baseline of Software Supply Chain Security Task Adoption by Software Organizations</w:t>
        </w:r>
        <w:r>
          <w:rPr>
            <w:sz w:val="18"/>
          </w:rPr>
          <w:t>. Preprint.</w:t>
        </w:r>
      </w:hyperlink>
      <w:bookmarkEnd w:id="79"/>
    </w:p>
    <w:sectPr w:rsidR="00FF3B0F" w:rsidSect="00034616">
      <w:footerReference w:type="default" r:id="rId66"/>
      <w:pgSz w:w="11906" w:h="16838"/>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B0AF21" w14:textId="77777777" w:rsidR="005306D5" w:rsidRDefault="005306D5">
      <w:pPr>
        <w:spacing w:after="0" w:line="240" w:lineRule="auto"/>
      </w:pPr>
      <w:r>
        <w:separator/>
      </w:r>
    </w:p>
  </w:endnote>
  <w:endnote w:type="continuationSeparator" w:id="0">
    <w:p w14:paraId="7836A4C6" w14:textId="77777777" w:rsidR="005306D5" w:rsidRDefault="005306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47778" w14:textId="77777777" w:rsidR="00FF3B0F" w:rsidRDefault="00FF3B0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38C97" w14:textId="77777777" w:rsidR="00FF3B0F" w:rsidRDefault="005306D5">
    <w:pPr>
      <w:pStyle w:val="Piedepgina"/>
      <w:jc w:val="center"/>
    </w:pPr>
    <w:r>
      <w:rPr>
        <w:sz w:val="18"/>
      </w:rPr>
      <w:fldChar w:fldCharType="begin"/>
    </w:r>
    <w:r>
      <w:rPr>
        <w:sz w:val="18"/>
      </w:rPr>
      <w:instrText xml:space="preserve"> PAGE   \* MERGEFORMAT </w:instrText>
    </w:r>
    <w:r>
      <w:rPr>
        <w:sz w:val="18"/>
      </w:rPr>
      <w:fldChar w:fldCharType="separate"/>
    </w:r>
    <w:r>
      <w:rPr>
        <w:sz w:val="18"/>
      </w:rPr>
      <w:t>2</w:t>
    </w:r>
    <w:r>
      <w:rPr>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DFA79" w14:textId="77777777" w:rsidR="00FF3B0F" w:rsidRDefault="005306D5">
    <w:pPr>
      <w:pStyle w:val="Piedepgina"/>
      <w:jc w:val="center"/>
    </w:pPr>
    <w:r>
      <w:rPr>
        <w:sz w:val="18"/>
      </w:rPr>
      <w:fldChar w:fldCharType="begin"/>
    </w:r>
    <w:r>
      <w:rPr>
        <w:sz w:val="18"/>
      </w:rPr>
      <w:instrText xml:space="preserve"> PAGE   \* MERGEFORMAT </w:instrText>
    </w:r>
    <w:r>
      <w:rPr>
        <w:sz w:val="18"/>
      </w:rPr>
      <w:fldChar w:fldCharType="separate"/>
    </w:r>
    <w:r>
      <w:rPr>
        <w:sz w:val="18"/>
      </w:rPr>
      <w:t>2</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3B7213" w14:textId="77777777" w:rsidR="005306D5" w:rsidRDefault="005306D5">
      <w:pPr>
        <w:spacing w:after="0" w:line="240" w:lineRule="auto"/>
      </w:pPr>
      <w:r>
        <w:separator/>
      </w:r>
    </w:p>
  </w:footnote>
  <w:footnote w:type="continuationSeparator" w:id="0">
    <w:p w14:paraId="108FE8AD" w14:textId="77777777" w:rsidR="005306D5" w:rsidRDefault="005306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450010968">
    <w:abstractNumId w:val="8"/>
  </w:num>
  <w:num w:numId="2" w16cid:durableId="41366670">
    <w:abstractNumId w:val="6"/>
  </w:num>
  <w:num w:numId="3" w16cid:durableId="1716734486">
    <w:abstractNumId w:val="5"/>
  </w:num>
  <w:num w:numId="4" w16cid:durableId="1858156095">
    <w:abstractNumId w:val="4"/>
  </w:num>
  <w:num w:numId="5" w16cid:durableId="720641619">
    <w:abstractNumId w:val="7"/>
  </w:num>
  <w:num w:numId="6" w16cid:durableId="271056976">
    <w:abstractNumId w:val="3"/>
  </w:num>
  <w:num w:numId="7" w16cid:durableId="1219324285">
    <w:abstractNumId w:val="2"/>
  </w:num>
  <w:num w:numId="8" w16cid:durableId="1673995273">
    <w:abstractNumId w:val="1"/>
  </w:num>
  <w:num w:numId="9" w16cid:durableId="3846447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C435E"/>
    <w:rsid w:val="005306D5"/>
    <w:rsid w:val="007845E0"/>
    <w:rsid w:val="00AA1D8D"/>
    <w:rsid w:val="00B47730"/>
    <w:rsid w:val="00CB0664"/>
    <w:rsid w:val="00FC693F"/>
    <w:rsid w:val="00FF3B0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4B8C3F3"/>
  <w14:defaultImageDpi w14:val="300"/>
  <w15:docId w15:val="{EB2FB1C4-85D8-4AB7-BD5F-46B59D461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eastAsia="Calibri" w:hAnsi="Calibri"/>
    </w:rPr>
  </w:style>
  <w:style w:type="paragraph" w:styleId="Ttulo1">
    <w:name w:val="heading 1"/>
    <w:basedOn w:val="Normal"/>
    <w:next w:val="Normal"/>
    <w:link w:val="Ttulo1Car"/>
    <w:uiPriority w:val="9"/>
    <w:qFormat/>
    <w:rsid w:val="00FC693F"/>
    <w:pPr>
      <w:keepNext/>
      <w:keepLines/>
      <w:spacing w:before="360"/>
      <w:outlineLvl w:val="0"/>
    </w:pPr>
    <w:rPr>
      <w:rFonts w:asciiTheme="majorHAnsi" w:eastAsiaTheme="majorEastAsia" w:hAnsiTheme="majorHAnsi" w:cstheme="majorBidi"/>
      <w:b/>
      <w:bCs/>
      <w:color w:val="1F3B63"/>
      <w:sz w:val="32"/>
      <w:szCs w:val="28"/>
    </w:rPr>
  </w:style>
  <w:style w:type="paragraph" w:styleId="Ttulo2">
    <w:name w:val="heading 2"/>
    <w:basedOn w:val="Normal"/>
    <w:next w:val="Normal"/>
    <w:link w:val="Ttulo2Car"/>
    <w:uiPriority w:val="9"/>
    <w:unhideWhenUsed/>
    <w:qFormat/>
    <w:rsid w:val="00FC693F"/>
    <w:pPr>
      <w:keepNext/>
      <w:keepLines/>
      <w:spacing w:before="240"/>
      <w:outlineLvl w:val="1"/>
    </w:pPr>
    <w:rPr>
      <w:rFonts w:asciiTheme="majorHAnsi" w:eastAsiaTheme="majorEastAsia" w:hAnsiTheme="majorHAnsi" w:cstheme="majorBidi"/>
      <w:b/>
      <w:bCs/>
      <w:color w:val="1F3B63"/>
      <w:sz w:val="26"/>
      <w:szCs w:val="26"/>
    </w:rPr>
  </w:style>
  <w:style w:type="paragraph" w:styleId="Ttulo3">
    <w:name w:val="heading 3"/>
    <w:basedOn w:val="Normal"/>
    <w:next w:val="Normal"/>
    <w:link w:val="Ttulo3Car"/>
    <w:uiPriority w:val="9"/>
    <w:unhideWhenUsed/>
    <w:qFormat/>
    <w:rsid w:val="00FC693F"/>
    <w:pPr>
      <w:keepNext/>
      <w:keepLines/>
      <w:spacing w:before="160" w:after="40" w:line="240" w:lineRule="auto"/>
      <w:outlineLvl w:val="2"/>
    </w:pPr>
    <w:rPr>
      <w:rFonts w:asciiTheme="majorHAnsi" w:eastAsiaTheme="majorEastAsia" w:hAnsiTheme="majorHAnsi" w:cstheme="majorBidi"/>
      <w:b/>
      <w:bCs/>
      <w:color w:val="1F3B6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7845E0"/>
    <w:pPr>
      <w:spacing w:after="100"/>
    </w:pPr>
  </w:style>
  <w:style w:type="paragraph" w:styleId="TDC2">
    <w:name w:val="toc 2"/>
    <w:basedOn w:val="Normal"/>
    <w:next w:val="Normal"/>
    <w:autoRedefine/>
    <w:uiPriority w:val="39"/>
    <w:unhideWhenUsed/>
    <w:rsid w:val="007845E0"/>
    <w:pPr>
      <w:spacing w:after="100"/>
      <w:ind w:left="220"/>
    </w:pPr>
  </w:style>
  <w:style w:type="character" w:styleId="Hipervnculo">
    <w:name w:val="Hyperlink"/>
    <w:basedOn w:val="Fuentedeprrafopredeter"/>
    <w:uiPriority w:val="99"/>
    <w:unhideWhenUsed/>
    <w:rsid w:val="007845E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quality.arc42.org/standards/iso-25010" TargetMode="External"/><Relationship Id="rId21" Type="http://schemas.openxmlformats.org/officeDocument/2006/relationships/hyperlink" Target="https://sre.google/sre-book/service-level-objectives/" TargetMode="External"/><Relationship Id="rId34" Type="http://schemas.openxmlformats.org/officeDocument/2006/relationships/hyperlink" Target="https://www.deloitte.com/content/dam/assets-shared/docs/collections/2023/gx-global-outsourcing-survey.pdf" TargetMode="External"/><Relationship Id="rId42" Type="http://schemas.openxmlformats.org/officeDocument/2006/relationships/hyperlink" Target="https://arxiv.org/pdf/1611.10288v1" TargetMode="External"/><Relationship Id="rId47" Type="http://schemas.openxmlformats.org/officeDocument/2006/relationships/hyperlink" Target="https://www.sec.gov/Archives/edgar/data/789019/000119312526323660/msft-20260630.htm" TargetMode="External"/><Relationship Id="rId50" Type="http://schemas.openxmlformats.org/officeDocument/2006/relationships/hyperlink" Target="https://www.azure.cn/en-us/support/sla/summary/" TargetMode="External"/><Relationship Id="rId55" Type="http://schemas.openxmlformats.org/officeDocument/2006/relationships/hyperlink" Target="https://www.microsoft.com/en-us/accessibility/conformance-reports" TargetMode="External"/><Relationship Id="rId63" Type="http://schemas.openxmlformats.org/officeDocument/2006/relationships/hyperlink" Target="https://www.melconway.com/Home/pdf/committees.pdf" TargetMode="External"/><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panorama-consulting.com/top-10-erp-failures/" TargetMode="External"/><Relationship Id="rId29" Type="http://schemas.openxmlformats.org/officeDocument/2006/relationships/hyperlink" Target="https://ejournals.eu/en/journal_article_files/full_text/018ecec0-fd6f-7169-a1da-518b13f96132/download" TargetMode="External"/><Relationship Id="rId11" Type="http://schemas.openxmlformats.org/officeDocument/2006/relationships/hyperlink" Target="https://doi.org/10.5923/j.ijis.20120206.06" TargetMode="External"/><Relationship Id="rId24" Type="http://schemas.openxmlformats.org/officeDocument/2006/relationships/hyperlink" Target="https://arxiv.org/pdf/2606.29816v1" TargetMode="External"/><Relationship Id="rId32" Type="http://schemas.openxmlformats.org/officeDocument/2006/relationships/hyperlink" Target="https://arxiv.org/pdf/1006.5749v1" TargetMode="External"/><Relationship Id="rId37" Type="http://schemas.openxmlformats.org/officeDocument/2006/relationships/hyperlink" Target="https://www.energy.gov/sites/default/files/igprod/documents/CalendarYear2000/ig-0466.pdf" TargetMode="External"/><Relationship Id="rId40" Type="http://schemas.openxmlformats.org/officeDocument/2006/relationships/hyperlink" Target="https://arxiv.org/pdf/2504.13751v1" TargetMode="External"/><Relationship Id="rId45" Type="http://schemas.openxmlformats.org/officeDocument/2006/relationships/hyperlink" Target="https://nvlpubs.nist.gov/nistpubs/SpecialPublications/NIST.SP.800-218.pdf" TargetMode="External"/><Relationship Id="rId53" Type="http://schemas.openxmlformats.org/officeDocument/2006/relationships/hyperlink" Target="https://www.noscommunes.ca/documentviewer/en/42-1/PACP/report-53/" TargetMode="External"/><Relationship Id="rId58" Type="http://schemas.openxmlformats.org/officeDocument/2006/relationships/hyperlink" Target="https://www.cisa.gov/sites/default/files/2024-10/SBOM%20Framing%20Software%20Component%20Transparency%202024.pdf" TargetMode="External"/><Relationship Id="rId66" Type="http://schemas.openxmlformats.org/officeDocument/2006/relationships/footer" Target="footer3.xml"/><Relationship Id="rId5" Type="http://schemas.openxmlformats.org/officeDocument/2006/relationships/webSettings" Target="webSettings.xml"/><Relationship Id="rId61" Type="http://schemas.openxmlformats.org/officeDocument/2006/relationships/hyperlink" Target="https://www.w3.org/TR/WCAG22/" TargetMode="External"/><Relationship Id="rId19" Type="http://schemas.openxmlformats.org/officeDocument/2006/relationships/hyperlink" Target="https://learn.microsoft.com/en-us/lifecycle/policies/fixed" TargetMode="External"/><Relationship Id="rId14" Type="http://schemas.openxmlformats.org/officeDocument/2006/relationships/hyperlink" Target="https://arxiv.org/pdf/1304.0265" TargetMode="External"/><Relationship Id="rId22" Type="http://schemas.openxmlformats.org/officeDocument/2006/relationships/hyperlink" Target="https://www.sei.cmu.edu/documents/1985/2001_004_001_13850.pdf" TargetMode="External"/><Relationship Id="rId27" Type="http://schemas.openxmlformats.org/officeDocument/2006/relationships/hyperlink" Target="https://arxiv.org/pdf/2103.11429v1" TargetMode="External"/><Relationship Id="rId30" Type="http://schemas.openxmlformats.org/officeDocument/2006/relationships/hyperlink" Target="https://arxiv.org/pdf/1207.2862v2" TargetMode="External"/><Relationship Id="rId35" Type="http://schemas.openxmlformats.org/officeDocument/2006/relationships/hyperlink" Target="https://arxiv.org/pdf/1712.03076v1" TargetMode="External"/><Relationship Id="rId43" Type="http://schemas.openxmlformats.org/officeDocument/2006/relationships/hyperlink" Target="https://www.panorama-consulting.com/panorama-consulting-group-releases-latest-study-of-erp-implementation-outcomes-across-the-globe/" TargetMode="External"/><Relationship Id="rId48" Type="http://schemas.openxmlformats.org/officeDocument/2006/relationships/hyperlink" Target="https://www.sec.gov/Archives/edgar/data/1341439/000119312526277521/orcl-20260531.htm" TargetMode="External"/><Relationship Id="rId56" Type="http://schemas.openxmlformats.org/officeDocument/2006/relationships/hyperlink" Target="https://arxiv.org/pdf/2512.05666v1" TargetMode="External"/><Relationship Id="rId64" Type="http://schemas.openxmlformats.org/officeDocument/2006/relationships/hyperlink" Target="https://www.eca.europa.eu/Lists/ECADocuments/SR18_26/SR_CUSTOMS_IT_EN.pdf" TargetMode="External"/><Relationship Id="rId8" Type="http://schemas.openxmlformats.org/officeDocument/2006/relationships/footer" Target="footer1.xml"/><Relationship Id="rId51" Type="http://schemas.openxmlformats.org/officeDocument/2006/relationships/hyperlink" Target="https://revistas.ucc.edu.co/index.php/in/article/download/4128/3335" TargetMode="External"/><Relationship Id="rId3" Type="http://schemas.openxmlformats.org/officeDocument/2006/relationships/styles" Target="styles.xml"/><Relationship Id="rId12" Type="http://schemas.openxmlformats.org/officeDocument/2006/relationships/hyperlink" Target="https://www.sei.cmu.edu/documents/634/2000_005_001_13721.pdf" TargetMode="External"/><Relationship Id="rId17" Type="http://schemas.openxmlformats.org/officeDocument/2006/relationships/hyperlink" Target="https://servicios.infoleg.gob.ar/infolegInternet/anexos/60000-64999/64790/texact.htm" TargetMode="External"/><Relationship Id="rId25" Type="http://schemas.openxmlformats.org/officeDocument/2006/relationships/hyperlink" Target="https://arxiv.org/pdf/2604.26482v2" TargetMode="External"/><Relationship Id="rId33" Type="http://schemas.openxmlformats.org/officeDocument/2006/relationships/hyperlink" Target="https://www.thoughtworks.com/radar/platforms/low-code-platforms" TargetMode="External"/><Relationship Id="rId38" Type="http://schemas.openxmlformats.org/officeDocument/2006/relationships/hyperlink" Target="https://martinfowler.com/bliki/TechnicalDebt.html" TargetMode="External"/><Relationship Id="rId46" Type="http://schemas.openxmlformats.org/officeDocument/2006/relationships/hyperlink" Target="https://www.sec.gov/Archives/edgar/data/1000184/000110465925017815/sap-20241224x20f.htm" TargetMode="External"/><Relationship Id="rId59" Type="http://schemas.openxmlformats.org/officeDocument/2006/relationships/hyperlink" Target="https://docs.aws.amazon.com/pdfs/whitepapers/latest/unpicking-vendor-lock-in/unpicking-vendor-lock-in.pdf" TargetMode="External"/><Relationship Id="rId67" Type="http://schemas.openxmlformats.org/officeDocument/2006/relationships/fontTable" Target="fontTable.xml"/><Relationship Id="rId20" Type="http://schemas.openxmlformats.org/officeDocument/2006/relationships/hyperlink" Target="https://www.sei.cmu.edu/documents/360/2012_019_001_58818.pdf" TargetMode="External"/><Relationship Id="rId41" Type="http://schemas.openxmlformats.org/officeDocument/2006/relationships/hyperlink" Target="https://www.cs.vu.nl/~x/the_rise_and_fall_of_the_chaos_report_figures.pdf" TargetMode="External"/><Relationship Id="rId54" Type="http://schemas.openxmlformats.org/officeDocument/2006/relationships/hyperlink" Target="https://www.gao.gov/assets/gao-12-7.pdf" TargetMode="External"/><Relationship Id="rId62" Type="http://schemas.openxmlformats.org/officeDocument/2006/relationships/hyperlink" Target="https://martinfowler.com/bliki/ConwaysLaw.html"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martinfowler.com/bliki/PackageCustomization.html" TargetMode="External"/><Relationship Id="rId23" Type="http://schemas.openxmlformats.org/officeDocument/2006/relationships/hyperlink" Target="https://www.joelonsoftware.com/2001/10/14/in-defense-of-not-invented-here-syndrome/" TargetMode="External"/><Relationship Id="rId28" Type="http://schemas.openxmlformats.org/officeDocument/2006/relationships/hyperlink" Target="https://www.nao.org.uk/wp-content/uploads/2021/07/The-challenges-in-implementing-digital-change.pdf" TargetMode="External"/><Relationship Id="rId36" Type="http://schemas.openxmlformats.org/officeDocument/2006/relationships/hyperlink" Target="https://www.thoughtworks.com/en-us/radar/techniques/bounded-low-code-platforms" TargetMode="External"/><Relationship Id="rId49" Type="http://schemas.openxmlformats.org/officeDocument/2006/relationships/hyperlink" Target="https://arxiv.org/pdf/1811.02956" TargetMode="External"/><Relationship Id="rId57" Type="http://schemas.openxmlformats.org/officeDocument/2006/relationships/hyperlink" Target="https://arxiv.org/pdf/2301.05362v3" TargetMode="External"/><Relationship Id="rId10" Type="http://schemas.openxmlformats.org/officeDocument/2006/relationships/hyperlink" Target="https://martinfowler.com/bliki/UtilityVsStrategicDichotomy.html" TargetMode="External"/><Relationship Id="rId31" Type="http://schemas.openxmlformats.org/officeDocument/2006/relationships/hyperlink" Target="https://www.govinfo.gov/content/pkg/GAOREPORTS-AIMD-00-270/html/GAOREPORTS-AIMD-00-270.htm" TargetMode="External"/><Relationship Id="rId44" Type="http://schemas.openxmlformats.org/officeDocument/2006/relationships/hyperlink" Target="https://www.govinfo.gov/content/pkg/GAOREPORTS-GAO-04-722/html/GAOREPORTS-GAO-04-722.htm" TargetMode="External"/><Relationship Id="rId52" Type="http://schemas.openxmlformats.org/officeDocument/2006/relationships/hyperlink" Target="https://edepot.wur.nl/530812" TargetMode="External"/><Relationship Id="rId60" Type="http://schemas.openxmlformats.org/officeDocument/2006/relationships/hyperlink" Target="https://www.nao.org.uk/wp-content/uploads/2025/01/governments-approach-to-technology-suppliers-addressing-the-challenges.pdf" TargetMode="External"/><Relationship Id="rId65" Type="http://schemas.openxmlformats.org/officeDocument/2006/relationships/hyperlink" Target="https://arxiv.org/pdf/2509.08083v1" TargetMode="External"/><Relationship Id="rId4" Type="http://schemas.openxmlformats.org/officeDocument/2006/relationships/settings" Target="settings.xml"/><Relationship Id="rId9" Type="http://schemas.openxmlformats.org/officeDocument/2006/relationships/footer" Target="footer2.xml"/><Relationship Id="rId13" Type="http://schemas.openxmlformats.org/officeDocument/2006/relationships/hyperlink" Target="https://personal.utdallas.edu/~chung/SYSM6309/chaos_report.pdf" TargetMode="External"/><Relationship Id="rId18" Type="http://schemas.openxmlformats.org/officeDocument/2006/relationships/hyperlink" Target="https://servicios.infoleg.gob.ar/infolegInternet/anexos/175000-179999/175694/norma.htm" TargetMode="External"/><Relationship Id="rId39" Type="http://schemas.openxmlformats.org/officeDocument/2006/relationships/hyperlink" Target="https://www.nao.org.uk/wp-content/uploads/2013/12/10320-001-Over-optimism-in-government-project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8040</Words>
  <Characters>42822</Characters>
  <Application>Microsoft Office Word</Application>
  <DocSecurity>0</DocSecurity>
  <Lines>800</Lines>
  <Paragraphs>459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50554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CPA Nahuel Mosse</cp:lastModifiedBy>
  <cp:revision>2</cp:revision>
  <dcterms:created xsi:type="dcterms:W3CDTF">2013-12-23T23:15:00Z</dcterms:created>
  <dcterms:modified xsi:type="dcterms:W3CDTF">2026-09-02T19:24:00Z</dcterms:modified>
  <cp:category/>
</cp:coreProperties>
</file>