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E784DA" w14:textId="77777777" w:rsidR="00790571" w:rsidRDefault="00DB58DC">
      <w:pPr>
        <w:pStyle w:val="Ttulo1"/>
        <w:spacing w:before="0" w:after="120" w:line="275" w:lineRule="auto"/>
        <w:rPr>
          <w:color w:val="1F1F1F"/>
        </w:rPr>
      </w:pPr>
      <w:r>
        <w:rPr>
          <w:color w:val="1F1F1F"/>
        </w:rPr>
        <w:t xml:space="preserve">Fundamentos Matemáticos en Visión Artificial: Difusión, Flow </w:t>
      </w:r>
      <w:proofErr w:type="spellStart"/>
      <w:r>
        <w:rPr>
          <w:color w:val="1F1F1F"/>
        </w:rPr>
        <w:t>Matching</w:t>
      </w:r>
      <w:proofErr w:type="spellEnd"/>
      <w:r>
        <w:rPr>
          <w:color w:val="1F1F1F"/>
        </w:rPr>
        <w:t xml:space="preserve"> y Transformers</w:t>
      </w:r>
    </w:p>
    <w:p w14:paraId="77E06DDE" w14:textId="77777777" w:rsidR="00790571" w:rsidRDefault="00DB58DC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color w:val="1F1F1F"/>
        </w:rPr>
      </w:pPr>
      <w:r>
        <w:rPr>
          <w:color w:val="1F1F1F"/>
        </w:rPr>
        <w:t>Este documento recopila, corrige y expande los conceptos matemáticos expuestos en material divulgativo, adaptándolos para el desarrollo de sistemas de visión artificial modernos. Se divide en los pilares fundamentales de generación y análisis visual, actualizados con el estado del arte a mediados de 2026.</w:t>
      </w:r>
    </w:p>
    <w:p w14:paraId="77E3D335" w14:textId="77777777" w:rsidR="00790571" w:rsidRDefault="00DB58DC">
      <w:pPr>
        <w:pStyle w:val="Ttulo2"/>
        <w:spacing w:before="0" w:after="120" w:line="275" w:lineRule="auto"/>
        <w:rPr>
          <w:color w:val="1F1F1F"/>
        </w:rPr>
      </w:pPr>
      <w:r>
        <w:rPr>
          <w:color w:val="1F1F1F"/>
        </w:rPr>
        <w:t>Parte 1: Generación de Imágenes (</w:t>
      </w:r>
      <w:proofErr w:type="spellStart"/>
      <w:r>
        <w:rPr>
          <w:color w:val="1F1F1F"/>
        </w:rPr>
        <w:t>LDMs</w:t>
      </w:r>
      <w:proofErr w:type="spellEnd"/>
      <w:r>
        <w:rPr>
          <w:color w:val="1F1F1F"/>
        </w:rPr>
        <w:t xml:space="preserve"> y Flow </w:t>
      </w:r>
      <w:proofErr w:type="spellStart"/>
      <w:r>
        <w:rPr>
          <w:color w:val="1F1F1F"/>
        </w:rPr>
        <w:t>Matching</w:t>
      </w:r>
      <w:proofErr w:type="spellEnd"/>
      <w:r>
        <w:rPr>
          <w:color w:val="1F1F1F"/>
        </w:rPr>
        <w:t>)</w:t>
      </w:r>
    </w:p>
    <w:p w14:paraId="7A2A984E" w14:textId="77777777" w:rsidR="00790571" w:rsidRDefault="00DB58DC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color w:val="1F1F1F"/>
        </w:rPr>
      </w:pPr>
      <w:r>
        <w:rPr>
          <w:color w:val="1F1F1F"/>
        </w:rPr>
        <w:t xml:space="preserve">Las ecuaciones compartidas originalmente describen un </w:t>
      </w:r>
      <w:r>
        <w:rPr>
          <w:b/>
          <w:bCs/>
          <w:color w:val="1F1F1F"/>
        </w:rPr>
        <w:t>Modelo de Difusión Latente (LDM)</w:t>
      </w:r>
      <w:r>
        <w:rPr>
          <w:color w:val="1F1F1F"/>
        </w:rPr>
        <w:t xml:space="preserve"> (como las primeras versiones de </w:t>
      </w:r>
      <w:proofErr w:type="spellStart"/>
      <w:r>
        <w:rPr>
          <w:color w:val="1F1F1F"/>
        </w:rPr>
        <w:t>Stable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Diffusion</w:t>
      </w:r>
      <w:proofErr w:type="spellEnd"/>
      <w:r>
        <w:rPr>
          <w:color w:val="1F1F1F"/>
        </w:rPr>
        <w:t>). Si bien dominaron la generación de imágenes, el estado del arte ha evolucionado hacia arquitecturas híbridas y nuevos paradigmas.</w:t>
      </w:r>
    </w:p>
    <w:p w14:paraId="4F21D282" w14:textId="77777777" w:rsidR="00790571" w:rsidRDefault="00DB58DC">
      <w:pPr>
        <w:pStyle w:val="Ttulo3"/>
        <w:spacing w:before="0" w:after="120" w:line="275" w:lineRule="auto"/>
        <w:rPr>
          <w:color w:val="1F1F1F"/>
        </w:rPr>
      </w:pPr>
      <w:r>
        <w:rPr>
          <w:color w:val="1F1F1F"/>
        </w:rPr>
        <w:t>1.1 Modelos de Difusión Latente (</w:t>
      </w:r>
      <w:proofErr w:type="spellStart"/>
      <w:r>
        <w:rPr>
          <w:color w:val="1F1F1F"/>
        </w:rPr>
        <w:t>LDMs</w:t>
      </w:r>
      <w:proofErr w:type="spellEnd"/>
      <w:r>
        <w:rPr>
          <w:color w:val="1F1F1F"/>
        </w:rPr>
        <w:t xml:space="preserve"> Clásicos)</w:t>
      </w:r>
    </w:p>
    <w:p w14:paraId="5F95ADE6" w14:textId="77777777" w:rsidR="00790571" w:rsidRDefault="00DB58D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Compresión Perceptual (</w:t>
      </w:r>
      <w:proofErr w:type="spellStart"/>
      <w:r>
        <w:rPr>
          <w:b/>
          <w:bCs/>
          <w:color w:val="1F1F1F"/>
        </w:rPr>
        <w:t>Autoencoder</w:t>
      </w:r>
      <w:proofErr w:type="spellEnd"/>
      <w:r>
        <w:rPr>
          <w:b/>
          <w:bCs/>
          <w:color w:val="1F1F1F"/>
        </w:rPr>
        <w:t>):</w:t>
      </w:r>
    </w:p>
    <w:p w14:paraId="0C3D473F" w14:textId="77777777" w:rsidR="00790571" w:rsidRDefault="00DB58DC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noProof/>
          <w:color w:val="1F1F1F"/>
        </w:rPr>
        <w:drawing>
          <wp:inline distT="19050" distB="19050" distL="19050" distR="19050" wp14:anchorId="01AA2D43" wp14:editId="789717A4">
            <wp:extent cx="746543" cy="248848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46543" cy="24884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1F1F1F"/>
        </w:rPr>
        <w:t xml:space="preserve"> (Codificación)</w:t>
      </w:r>
    </w:p>
    <w:p w14:paraId="25E2E493" w14:textId="77777777" w:rsidR="00790571" w:rsidRDefault="00DB58DC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noProof/>
          <w:color w:val="1F1F1F"/>
        </w:rPr>
        <w:drawing>
          <wp:inline distT="19050" distB="19050" distL="19050" distR="19050" wp14:anchorId="5772D72C" wp14:editId="6BB58FAB">
            <wp:extent cx="851924" cy="250168"/>
            <wp:effectExtent l="0" t="0" r="0" b="0"/>
            <wp:docPr id="3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51924" cy="25016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1F1F1F"/>
        </w:rPr>
        <w:t xml:space="preserve"> (Decodificación)</w:t>
      </w:r>
    </w:p>
    <w:p w14:paraId="0C67A715" w14:textId="77777777" w:rsidR="00790571" w:rsidRDefault="00DB58DC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Implicancia:</w:t>
      </w:r>
      <w:r>
        <w:rPr>
          <w:color w:val="1F1F1F"/>
        </w:rPr>
        <w:t xml:space="preserve"> Trabajar en píxeles (</w:t>
      </w:r>
      <w:r>
        <w:rPr>
          <w:noProof/>
          <w:color w:val="1F1F1F"/>
        </w:rPr>
        <w:drawing>
          <wp:inline distT="19050" distB="19050" distL="19050" distR="19050" wp14:anchorId="2F558769" wp14:editId="7F389D62">
            <wp:extent cx="112065" cy="230723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2065" cy="2307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1F1F1F"/>
        </w:rPr>
        <w:t xml:space="preserve">) es prohibitivo. La imagen se comprime en un espacio latente </w:t>
      </w:r>
      <w:r>
        <w:rPr>
          <w:noProof/>
          <w:color w:val="1F1F1F"/>
        </w:rPr>
        <w:drawing>
          <wp:inline distT="19050" distB="19050" distL="19050" distR="19050" wp14:anchorId="39FABB6D" wp14:editId="62F52421">
            <wp:extent cx="99741" cy="249353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9741" cy="24935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1F1F1F"/>
        </w:rPr>
        <w:t>. Innovaciones recientes (2025) han introducido pérdidas perceptuales en el espacio latente (LPL) utilizando las características internas del decodificador para generar imágenes mucho más nítidas y realistas.</w:t>
      </w:r>
    </w:p>
    <w:p w14:paraId="7F8195A2" w14:textId="77777777" w:rsidR="00790571" w:rsidRDefault="00DB58D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Condicionamiento (Cross-</w:t>
      </w:r>
      <w:proofErr w:type="spellStart"/>
      <w:r>
        <w:rPr>
          <w:b/>
          <w:bCs/>
          <w:color w:val="1F1F1F"/>
        </w:rPr>
        <w:t>Attention</w:t>
      </w:r>
      <w:proofErr w:type="spellEnd"/>
      <w:r>
        <w:rPr>
          <w:b/>
          <w:bCs/>
          <w:color w:val="1F1F1F"/>
        </w:rPr>
        <w:t>):</w:t>
      </w:r>
    </w:p>
    <w:p w14:paraId="29567338" w14:textId="77777777" w:rsidR="00790571" w:rsidRDefault="00DB58DC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noProof/>
          <w:color w:val="1F1F1F"/>
        </w:rPr>
        <w:drawing>
          <wp:inline distT="19050" distB="19050" distL="19050" distR="19050" wp14:anchorId="7177F687" wp14:editId="22399281">
            <wp:extent cx="1294228" cy="234705"/>
            <wp:effectExtent l="0" t="0" r="0" b="0"/>
            <wp:docPr id="4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94228" cy="2347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48EFF7C" w14:textId="77777777" w:rsidR="00790571" w:rsidRDefault="00DB58D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Proceso de Difusión (Adición y Predicción de Ruido):</w:t>
      </w:r>
    </w:p>
    <w:p w14:paraId="2CEC3794" w14:textId="77777777" w:rsidR="00790571" w:rsidRDefault="00DB58DC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noProof/>
          <w:color w:val="1F1F1F"/>
        </w:rPr>
        <w:drawing>
          <wp:inline distT="19050" distB="19050" distL="19050" distR="19050" wp14:anchorId="15B62347" wp14:editId="0774080E">
            <wp:extent cx="1933099" cy="234112"/>
            <wp:effectExtent l="0" t="0" r="0" b="0"/>
            <wp:docPr id="7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33099" cy="23411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1F1F1F"/>
        </w:rPr>
        <w:t xml:space="preserve"> (Proceso Directo)</w:t>
      </w:r>
    </w:p>
    <w:p w14:paraId="7D1CE23B" w14:textId="77777777" w:rsidR="00790571" w:rsidRDefault="00DB58DC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noProof/>
          <w:color w:val="1F1F1F"/>
        </w:rPr>
        <w:drawing>
          <wp:inline distT="19050" distB="19050" distL="19050" distR="19050" wp14:anchorId="0965A97A" wp14:editId="1C235D21">
            <wp:extent cx="1802130" cy="234478"/>
            <wp:effectExtent l="0" t="0" r="0" b="0"/>
            <wp:docPr id="6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02130" cy="23447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1F1F1F"/>
        </w:rPr>
        <w:t xml:space="preserve"> (Función de Pérdida)</w:t>
      </w:r>
    </w:p>
    <w:p w14:paraId="581FFDD9" w14:textId="77777777" w:rsidR="00790571" w:rsidRDefault="00DB58DC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Implicancia:</w:t>
      </w:r>
      <w:r>
        <w:rPr>
          <w:color w:val="1F1F1F"/>
        </w:rPr>
        <w:t xml:space="preserve"> El modelo aprende a estimar el ruido iterativamente.</w:t>
      </w:r>
    </w:p>
    <w:p w14:paraId="5E5A56F4" w14:textId="77777777" w:rsidR="00790571" w:rsidRDefault="00DB58D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Control de Generación (</w:t>
      </w:r>
      <w:proofErr w:type="spellStart"/>
      <w:r>
        <w:rPr>
          <w:b/>
          <w:bCs/>
          <w:color w:val="1F1F1F"/>
        </w:rPr>
        <w:t>Classifier</w:t>
      </w:r>
      <w:proofErr w:type="spellEnd"/>
      <w:r>
        <w:rPr>
          <w:b/>
          <w:bCs/>
          <w:color w:val="1F1F1F"/>
        </w:rPr>
        <w:t xml:space="preserve">-Free </w:t>
      </w:r>
      <w:proofErr w:type="spellStart"/>
      <w:r>
        <w:rPr>
          <w:b/>
          <w:bCs/>
          <w:color w:val="1F1F1F"/>
        </w:rPr>
        <w:t>Guidance</w:t>
      </w:r>
      <w:proofErr w:type="spellEnd"/>
      <w:r>
        <w:rPr>
          <w:b/>
          <w:bCs/>
          <w:color w:val="1F1F1F"/>
        </w:rPr>
        <w:t>):</w:t>
      </w:r>
    </w:p>
    <w:p w14:paraId="4AC6C8C6" w14:textId="77777777" w:rsidR="00790571" w:rsidRDefault="00DB58DC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b/>
          <w:bCs/>
          <w:noProof/>
          <w:color w:val="1F1F1F"/>
        </w:rPr>
        <w:drawing>
          <wp:inline distT="19050" distB="19050" distL="19050" distR="19050" wp14:anchorId="13B86A1F" wp14:editId="24CBE468">
            <wp:extent cx="1582274" cy="234659"/>
            <wp:effectExtent l="0" t="0" r="0" b="0"/>
            <wp:docPr id="9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82274" cy="23465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711309E" w14:textId="77777777" w:rsidR="00790571" w:rsidRDefault="00DB58DC">
      <w:pPr>
        <w:pStyle w:val="Ttulo3"/>
        <w:spacing w:before="120" w:after="120" w:line="275" w:lineRule="auto"/>
        <w:rPr>
          <w:color w:val="1F1F1F"/>
        </w:rPr>
      </w:pPr>
      <w:r>
        <w:rPr>
          <w:color w:val="1F1F1F"/>
        </w:rPr>
        <w:t xml:space="preserve">1.2 El Cambio de Paradigma: Flow </w:t>
      </w:r>
      <w:proofErr w:type="spellStart"/>
      <w:r>
        <w:rPr>
          <w:color w:val="1F1F1F"/>
        </w:rPr>
        <w:t>Matching</w:t>
      </w:r>
      <w:proofErr w:type="spellEnd"/>
      <w:r>
        <w:rPr>
          <w:color w:val="1F1F1F"/>
        </w:rPr>
        <w:t xml:space="preserve"> (2024-2026)</w:t>
      </w:r>
    </w:p>
    <w:p w14:paraId="7982EB52" w14:textId="77777777" w:rsidR="00790571" w:rsidRDefault="00DB58DC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color w:val="1F1F1F"/>
        </w:rPr>
      </w:pPr>
      <w:r>
        <w:rPr>
          <w:color w:val="1F1F1F"/>
        </w:rPr>
        <w:t xml:space="preserve">A partir de 2024 y consolidándose en 2025/2026, </w:t>
      </w:r>
      <w:r>
        <w:rPr>
          <w:b/>
          <w:bCs/>
          <w:color w:val="1F1F1F"/>
        </w:rPr>
        <w:t xml:space="preserve">Flow </w:t>
      </w:r>
      <w:proofErr w:type="spellStart"/>
      <w:r>
        <w:rPr>
          <w:b/>
          <w:bCs/>
          <w:color w:val="1F1F1F"/>
        </w:rPr>
        <w:t>Matching</w:t>
      </w:r>
      <w:proofErr w:type="spellEnd"/>
      <w:r>
        <w:rPr>
          <w:b/>
          <w:bCs/>
          <w:color w:val="1F1F1F"/>
        </w:rPr>
        <w:t xml:space="preserve"> (FM)</w:t>
      </w:r>
      <w:r>
        <w:rPr>
          <w:color w:val="1F1F1F"/>
        </w:rPr>
        <w:t xml:space="preserve"> ha comenzado a </w:t>
      </w:r>
      <w:r>
        <w:rPr>
          <w:color w:val="1F1F1F"/>
        </w:rPr>
        <w:lastRenderedPageBreak/>
        <w:t>reemplazar a la difusión pura en la generación de vanguardia debido a su eficiencia superior.</w:t>
      </w:r>
    </w:p>
    <w:p w14:paraId="2E8AA565" w14:textId="77777777" w:rsidR="00790571" w:rsidRDefault="00DB58D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El Problema de la Difusión:</w:t>
      </w:r>
      <w:r>
        <w:rPr>
          <w:color w:val="1F1F1F"/>
        </w:rPr>
        <w:t xml:space="preserve"> La difusión sigue una trayectoria curva y estocástica de ruido a imagen, requiriendo cientos de pasos de inferencia (costoso en </w:t>
      </w:r>
      <w:proofErr w:type="spellStart"/>
      <w:r>
        <w:rPr>
          <w:color w:val="1F1F1F"/>
        </w:rPr>
        <w:t>GPUs</w:t>
      </w:r>
      <w:proofErr w:type="spellEnd"/>
      <w:r>
        <w:rPr>
          <w:color w:val="1F1F1F"/>
        </w:rPr>
        <w:t>).</w:t>
      </w:r>
    </w:p>
    <w:p w14:paraId="17F7F03B" w14:textId="77777777" w:rsidR="00790571" w:rsidRDefault="00DB58D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 xml:space="preserve">La Solución de Flow </w:t>
      </w:r>
      <w:proofErr w:type="spellStart"/>
      <w:r>
        <w:rPr>
          <w:b/>
          <w:bCs/>
          <w:color w:val="1F1F1F"/>
        </w:rPr>
        <w:t>Matching</w:t>
      </w:r>
      <w:proofErr w:type="spellEnd"/>
      <w:r>
        <w:rPr>
          <w:b/>
          <w:bCs/>
          <w:color w:val="1F1F1F"/>
        </w:rPr>
        <w:t>:</w:t>
      </w:r>
      <w:r>
        <w:rPr>
          <w:color w:val="1F1F1F"/>
        </w:rPr>
        <w:t xml:space="preserve"> En lugar de predecir el ruido paso a paso, FM aprende un campo vectorial continuo (una trayectoria lineal "rectificada") que conecta el ruido con la imagen directamente. Esto permite generar imágenes de calidad equivalente en una fracción de los pasos.</w:t>
      </w:r>
    </w:p>
    <w:p w14:paraId="1DC7C76D" w14:textId="77777777" w:rsidR="00790571" w:rsidRDefault="00DB58D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b/>
          <w:bCs/>
          <w:color w:val="1F1F1F"/>
        </w:rPr>
        <w:t>Convergencia (Diff2Flow):</w:t>
      </w:r>
      <w:r>
        <w:rPr>
          <w:color w:val="1F1F1F"/>
        </w:rPr>
        <w:t xml:space="preserve"> Investigaciones recientes (como </w:t>
      </w:r>
      <w:r>
        <w:rPr>
          <w:i/>
          <w:iCs/>
          <w:color w:val="1F1F1F"/>
        </w:rPr>
        <w:t>Diff2Flow</w:t>
      </w:r>
      <w:r>
        <w:rPr>
          <w:color w:val="1F1F1F"/>
        </w:rPr>
        <w:t xml:space="preserve"> en CVPR 2025) han demostrado que la Difusión y Flow </w:t>
      </w:r>
      <w:proofErr w:type="spellStart"/>
      <w:r>
        <w:rPr>
          <w:color w:val="1F1F1F"/>
        </w:rPr>
        <w:t>Matching</w:t>
      </w:r>
      <w:proofErr w:type="spellEnd"/>
      <w:r>
        <w:rPr>
          <w:color w:val="1F1F1F"/>
        </w:rPr>
        <w:t xml:space="preserve"> son equivalentes bajo ciertas condiciones. Hoy en día, es común entrenar un modelo base con difusión (lento pero robusto) y luego "destilarlo" o alinearlo (</w:t>
      </w:r>
      <w:proofErr w:type="spellStart"/>
      <w:r>
        <w:rPr>
          <w:color w:val="1F1F1F"/>
        </w:rPr>
        <w:t>re-escalando</w:t>
      </w:r>
      <w:proofErr w:type="spellEnd"/>
      <w:r>
        <w:rPr>
          <w:color w:val="1F1F1F"/>
        </w:rPr>
        <w:t xml:space="preserve"> pasos de tiempo y campos de velocidad) hacia un modelo Flow </w:t>
      </w:r>
      <w:proofErr w:type="spellStart"/>
      <w:r>
        <w:rPr>
          <w:color w:val="1F1F1F"/>
        </w:rPr>
        <w:t>Matching</w:t>
      </w:r>
      <w:proofErr w:type="spellEnd"/>
      <w:r>
        <w:rPr>
          <w:color w:val="1F1F1F"/>
        </w:rPr>
        <w:t xml:space="preserve"> (rápido en inferencia).</w:t>
      </w:r>
    </w:p>
    <w:p w14:paraId="143A58B9" w14:textId="77777777" w:rsidR="00790571" w:rsidRDefault="00DB58DC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rPr>
          <w:b/>
          <w:bCs/>
          <w:color w:val="1F1F1F"/>
        </w:rPr>
      </w:pPr>
      <w:r>
        <w:rPr>
          <w:b/>
          <w:bCs/>
          <w:color w:val="1F1F1F"/>
        </w:rPr>
        <w:t>Citas Académicas (Generación de Vanguardia):</w:t>
      </w:r>
    </w:p>
    <w:p w14:paraId="1D6A668F" w14:textId="77777777" w:rsidR="00790571" w:rsidRDefault="00DB58DC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LDM Clásico:</w:t>
      </w:r>
      <w:r>
        <w:rPr>
          <w:color w:val="1F1F1F"/>
        </w:rPr>
        <w:t xml:space="preserve"> </w:t>
      </w:r>
      <w:proofErr w:type="spellStart"/>
      <w:r>
        <w:rPr>
          <w:color w:val="1F1F1F"/>
        </w:rPr>
        <w:t>Rombach</w:t>
      </w:r>
      <w:proofErr w:type="spellEnd"/>
      <w:r>
        <w:rPr>
          <w:color w:val="1F1F1F"/>
        </w:rPr>
        <w:t xml:space="preserve">, R., et al. (2022). </w:t>
      </w:r>
      <w:r w:rsidRPr="002104E6">
        <w:rPr>
          <w:i/>
          <w:iCs/>
          <w:color w:val="1F1F1F"/>
          <w:lang w:val="en-US"/>
        </w:rPr>
        <w:t>High-Resolution Image Synthesis with Latent Diffusion Models</w:t>
      </w:r>
      <w:r w:rsidRPr="002104E6">
        <w:rPr>
          <w:color w:val="1F1F1F"/>
          <w:lang w:val="en-US"/>
        </w:rPr>
        <w:t xml:space="preserve">. </w:t>
      </w:r>
      <w:r>
        <w:rPr>
          <w:color w:val="1F1F1F"/>
        </w:rPr>
        <w:t>CVPR.</w:t>
      </w:r>
    </w:p>
    <w:p w14:paraId="15ED3C04" w14:textId="77777777" w:rsidR="00790571" w:rsidRPr="002104E6" w:rsidRDefault="00DB58DC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en-US"/>
        </w:rPr>
      </w:pPr>
      <w:r w:rsidRPr="002104E6">
        <w:rPr>
          <w:b/>
          <w:bCs/>
          <w:color w:val="1F1F1F"/>
          <w:lang w:val="en-US"/>
        </w:rPr>
        <w:t>Flow Matching &amp; Diff2Flow:</w:t>
      </w:r>
      <w:r w:rsidRPr="002104E6">
        <w:rPr>
          <w:color w:val="1F1F1F"/>
          <w:lang w:val="en-US"/>
        </w:rPr>
        <w:t xml:space="preserve"> Schusterbauer, J., Gui, M., Fundel, F., &amp; Ommer, B. (2025). </w:t>
      </w:r>
      <w:r w:rsidRPr="002104E6">
        <w:rPr>
          <w:i/>
          <w:iCs/>
          <w:color w:val="1F1F1F"/>
          <w:lang w:val="en-US"/>
        </w:rPr>
        <w:t>Diff2Flow: Training Flow Matching Models via Diffusion Model Alignment</w:t>
      </w:r>
      <w:r w:rsidRPr="002104E6">
        <w:rPr>
          <w:color w:val="1F1F1F"/>
          <w:lang w:val="en-US"/>
        </w:rPr>
        <w:t>. CVPR 2025.</w:t>
      </w:r>
    </w:p>
    <w:p w14:paraId="4924248B" w14:textId="77777777" w:rsidR="00790571" w:rsidRDefault="00DB58DC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 w:rsidRPr="002104E6">
        <w:rPr>
          <w:b/>
          <w:bCs/>
          <w:color w:val="1F1F1F"/>
          <w:lang w:val="en-US"/>
        </w:rPr>
        <w:t>LPL en Latentes:</w:t>
      </w:r>
      <w:r w:rsidRPr="002104E6">
        <w:rPr>
          <w:color w:val="1F1F1F"/>
          <w:lang w:val="en-US"/>
        </w:rPr>
        <w:t xml:space="preserve"> </w:t>
      </w:r>
      <w:r w:rsidRPr="002104E6">
        <w:rPr>
          <w:i/>
          <w:iCs/>
          <w:color w:val="1F1F1F"/>
          <w:lang w:val="en-US"/>
        </w:rPr>
        <w:t>Boosting Latent Diffusion with Perceptual Objectives</w:t>
      </w:r>
      <w:r w:rsidRPr="002104E6">
        <w:rPr>
          <w:color w:val="1F1F1F"/>
          <w:lang w:val="en-US"/>
        </w:rPr>
        <w:t xml:space="preserve">. </w:t>
      </w:r>
      <w:r>
        <w:rPr>
          <w:color w:val="1F1F1F"/>
        </w:rPr>
        <w:t>ICLR 2025.</w:t>
      </w:r>
    </w:p>
    <w:p w14:paraId="0A9AC017" w14:textId="77777777" w:rsidR="00790571" w:rsidRDefault="00DB58DC">
      <w:pPr>
        <w:pStyle w:val="Ttulo2"/>
        <w:spacing w:before="120" w:after="120" w:line="275" w:lineRule="auto"/>
        <w:rPr>
          <w:color w:val="1F1F1F"/>
        </w:rPr>
      </w:pPr>
      <w:r>
        <w:rPr>
          <w:color w:val="1F1F1F"/>
        </w:rPr>
        <w:t xml:space="preserve">Parte 2: </w:t>
      </w:r>
      <w:proofErr w:type="spellStart"/>
      <w:r>
        <w:rPr>
          <w:color w:val="1F1F1F"/>
        </w:rPr>
        <w:t>Vision</w:t>
      </w:r>
      <w:proofErr w:type="spellEnd"/>
      <w:r>
        <w:rPr>
          <w:color w:val="1F1F1F"/>
        </w:rPr>
        <w:t xml:space="preserve"> Transformers (</w:t>
      </w:r>
      <w:proofErr w:type="spellStart"/>
      <w:r>
        <w:rPr>
          <w:color w:val="1F1F1F"/>
        </w:rPr>
        <w:t>ViT</w:t>
      </w:r>
      <w:proofErr w:type="spellEnd"/>
      <w:r>
        <w:rPr>
          <w:color w:val="1F1F1F"/>
        </w:rPr>
        <w:t>) y Evolución 2026</w:t>
      </w:r>
    </w:p>
    <w:p w14:paraId="6DC7F2CB" w14:textId="77777777" w:rsidR="00790571" w:rsidRDefault="00DB58DC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color w:val="1F1F1F"/>
        </w:rPr>
      </w:pPr>
      <w:r>
        <w:rPr>
          <w:color w:val="1F1F1F"/>
        </w:rPr>
        <w:t xml:space="preserve">El segundo conjunto de ecuaciones describe la base de los </w:t>
      </w:r>
      <w:proofErr w:type="spellStart"/>
      <w:r>
        <w:rPr>
          <w:b/>
          <w:bCs/>
          <w:color w:val="1F1F1F"/>
        </w:rPr>
        <w:t>Vision</w:t>
      </w:r>
      <w:proofErr w:type="spellEnd"/>
      <w:r>
        <w:rPr>
          <w:b/>
          <w:bCs/>
          <w:color w:val="1F1F1F"/>
        </w:rPr>
        <w:t xml:space="preserve"> Transformers (</w:t>
      </w:r>
      <w:proofErr w:type="spellStart"/>
      <w:r>
        <w:rPr>
          <w:b/>
          <w:bCs/>
          <w:color w:val="1F1F1F"/>
        </w:rPr>
        <w:t>ViT</w:t>
      </w:r>
      <w:proofErr w:type="spellEnd"/>
      <w:r>
        <w:rPr>
          <w:b/>
          <w:bCs/>
          <w:color w:val="1F1F1F"/>
        </w:rPr>
        <w:t>)</w:t>
      </w:r>
      <w:r>
        <w:rPr>
          <w:color w:val="1F1F1F"/>
        </w:rPr>
        <w:t>, que para 2026 se han convertido en el estándar absoluto (</w:t>
      </w:r>
      <w:proofErr w:type="spellStart"/>
      <w:r>
        <w:rPr>
          <w:i/>
          <w:iCs/>
          <w:color w:val="1F1F1F"/>
        </w:rPr>
        <w:t>backbone</w:t>
      </w:r>
      <w:proofErr w:type="spellEnd"/>
      <w:r>
        <w:rPr>
          <w:color w:val="1F1F1F"/>
        </w:rPr>
        <w:t xml:space="preserve"> por defecto) superando a las </w:t>
      </w:r>
      <w:proofErr w:type="spellStart"/>
      <w:r>
        <w:rPr>
          <w:color w:val="1F1F1F"/>
        </w:rPr>
        <w:t>CNNs</w:t>
      </w:r>
      <w:proofErr w:type="spellEnd"/>
      <w:r>
        <w:rPr>
          <w:color w:val="1F1F1F"/>
        </w:rPr>
        <w:t xml:space="preserve"> en detección, segmentación y análisis de profundidad.</w:t>
      </w:r>
    </w:p>
    <w:p w14:paraId="2ABA37AE" w14:textId="77777777" w:rsidR="00790571" w:rsidRDefault="00DB58DC">
      <w:pPr>
        <w:pStyle w:val="Ttulo3"/>
        <w:spacing w:before="0" w:after="120" w:line="275" w:lineRule="auto"/>
        <w:rPr>
          <w:color w:val="1F1F1F"/>
        </w:rPr>
      </w:pPr>
      <w:r>
        <w:rPr>
          <w:color w:val="1F1F1F"/>
        </w:rPr>
        <w:t>2.1 Adaptación Visual Base</w:t>
      </w:r>
    </w:p>
    <w:p w14:paraId="44F6D146" w14:textId="77777777" w:rsidR="00790571" w:rsidRDefault="00DB58DC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De Tokens a Parches:</w:t>
      </w:r>
      <w:r>
        <w:rPr>
          <w:color w:val="1F1F1F"/>
        </w:rPr>
        <w:t xml:space="preserve"> Una imagen se divide en parches y se aplana en vectores (</w:t>
      </w:r>
      <w:r>
        <w:rPr>
          <w:noProof/>
          <w:color w:val="1F1F1F"/>
        </w:rPr>
        <w:drawing>
          <wp:inline distT="19050" distB="19050" distL="19050" distR="19050" wp14:anchorId="3D0625A6" wp14:editId="2FDF302A">
            <wp:extent cx="177654" cy="230292"/>
            <wp:effectExtent l="0" t="0" r="0" b="0"/>
            <wp:docPr id="8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7654" cy="23029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1F1F1F"/>
        </w:rPr>
        <w:t xml:space="preserve">). Las arquitecturas de 2026 han mejorado esto con </w:t>
      </w:r>
      <w:r>
        <w:rPr>
          <w:b/>
          <w:bCs/>
          <w:color w:val="1F1F1F"/>
        </w:rPr>
        <w:t>Procesamiento Jerárquico</w:t>
      </w:r>
      <w:r>
        <w:rPr>
          <w:color w:val="1F1F1F"/>
        </w:rPr>
        <w:t xml:space="preserve"> (ej. </w:t>
      </w:r>
      <w:proofErr w:type="spellStart"/>
      <w:r>
        <w:rPr>
          <w:color w:val="1F1F1F"/>
        </w:rPr>
        <w:t>Swin</w:t>
      </w:r>
      <w:proofErr w:type="spellEnd"/>
      <w:r>
        <w:rPr>
          <w:color w:val="1F1F1F"/>
        </w:rPr>
        <w:t xml:space="preserve"> V3), donde los parches se fusionan en múltiples niveles de abstracción (como la visión humana), reduciendo el costo computacional hasta un 40% para alta resolución.</w:t>
      </w:r>
    </w:p>
    <w:p w14:paraId="4BC733B6" w14:textId="77777777" w:rsidR="00790571" w:rsidRDefault="00DB58DC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Posicionamiento (</w:t>
      </w:r>
      <w:proofErr w:type="spellStart"/>
      <w:r>
        <w:rPr>
          <w:b/>
          <w:bCs/>
          <w:color w:val="1F1F1F"/>
        </w:rPr>
        <w:t>RoPE</w:t>
      </w:r>
      <w:proofErr w:type="spellEnd"/>
      <w:r>
        <w:rPr>
          <w:b/>
          <w:bCs/>
          <w:color w:val="1F1F1F"/>
        </w:rPr>
        <w:t xml:space="preserve"> y </w:t>
      </w:r>
      <w:proofErr w:type="spellStart"/>
      <w:r>
        <w:rPr>
          <w:b/>
          <w:bCs/>
          <w:color w:val="1F1F1F"/>
        </w:rPr>
        <w:t>Registers</w:t>
      </w:r>
      <w:proofErr w:type="spellEnd"/>
      <w:r>
        <w:rPr>
          <w:b/>
          <w:bCs/>
          <w:color w:val="1F1F1F"/>
        </w:rPr>
        <w:t>):</w:t>
      </w:r>
    </w:p>
    <w:p w14:paraId="34179952" w14:textId="77777777" w:rsidR="00790571" w:rsidRDefault="00DB58DC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color w:val="1F1F1F"/>
        </w:rPr>
        <w:t xml:space="preserve">En lugar de la simple suma </w:t>
      </w:r>
      <w:r>
        <w:rPr>
          <w:noProof/>
          <w:color w:val="1F1F1F"/>
        </w:rPr>
        <w:drawing>
          <wp:inline distT="19050" distB="19050" distL="19050" distR="19050" wp14:anchorId="20479373" wp14:editId="74F07499">
            <wp:extent cx="1052446" cy="236126"/>
            <wp:effectExtent l="0" t="0" r="0" b="0"/>
            <wp:docPr id="12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52446" cy="23612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1F1F1F"/>
        </w:rPr>
        <w:t xml:space="preserve">, los modelos modernos como </w:t>
      </w:r>
      <w:r>
        <w:rPr>
          <w:b/>
          <w:bCs/>
          <w:color w:val="1F1F1F"/>
        </w:rPr>
        <w:t>ViT-5</w:t>
      </w:r>
      <w:r>
        <w:rPr>
          <w:color w:val="1F1F1F"/>
        </w:rPr>
        <w:t xml:space="preserve"> (2026) utilizan </w:t>
      </w:r>
      <w:r>
        <w:rPr>
          <w:i/>
          <w:iCs/>
          <w:color w:val="1F1F1F"/>
        </w:rPr>
        <w:t xml:space="preserve">Rotary </w:t>
      </w:r>
      <w:proofErr w:type="spellStart"/>
      <w:r>
        <w:rPr>
          <w:i/>
          <w:iCs/>
          <w:color w:val="1F1F1F"/>
        </w:rPr>
        <w:t>Positional</w:t>
      </w:r>
      <w:proofErr w:type="spellEnd"/>
      <w:r>
        <w:rPr>
          <w:i/>
          <w:iCs/>
          <w:color w:val="1F1F1F"/>
        </w:rPr>
        <w:t xml:space="preserve"> </w:t>
      </w:r>
      <w:proofErr w:type="spellStart"/>
      <w:r>
        <w:rPr>
          <w:i/>
          <w:iCs/>
          <w:color w:val="1F1F1F"/>
        </w:rPr>
        <w:t>Embeddings</w:t>
      </w:r>
      <w:proofErr w:type="spellEnd"/>
      <w:r>
        <w:rPr>
          <w:color w:val="1F1F1F"/>
        </w:rPr>
        <w:t xml:space="preserve"> (</w:t>
      </w:r>
      <w:proofErr w:type="spellStart"/>
      <w:r>
        <w:rPr>
          <w:color w:val="1F1F1F"/>
        </w:rPr>
        <w:t>RoPE</w:t>
      </w:r>
      <w:proofErr w:type="spellEnd"/>
      <w:r>
        <w:rPr>
          <w:color w:val="1F1F1F"/>
        </w:rPr>
        <w:t>) bidimensionales y "Tokens de Registro" que mitigan los artefactos de atención y mejoran el razonamiento espacial relativo.</w:t>
      </w:r>
    </w:p>
    <w:p w14:paraId="0861AE37" w14:textId="77777777" w:rsidR="00790571" w:rsidRDefault="00DB58DC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Mecanismo de Atención Global Bidireccional:</w:t>
      </w:r>
    </w:p>
    <w:p w14:paraId="26653C23" w14:textId="77777777" w:rsidR="00790571" w:rsidRDefault="00DB58DC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noProof/>
          <w:color w:val="1F1F1F"/>
        </w:rPr>
        <w:drawing>
          <wp:inline distT="19050" distB="19050" distL="19050" distR="19050" wp14:anchorId="47B5F8E8" wp14:editId="2B1AC8B4">
            <wp:extent cx="754898" cy="316788"/>
            <wp:effectExtent l="0" t="0" r="0" b="0"/>
            <wp:docPr id="10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4898" cy="3167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1F1F1F"/>
        </w:rPr>
        <w:t xml:space="preserve"> ; </w:t>
      </w:r>
      <w:r>
        <w:rPr>
          <w:noProof/>
          <w:color w:val="1F1F1F"/>
        </w:rPr>
        <w:drawing>
          <wp:inline distT="19050" distB="19050" distL="19050" distR="19050" wp14:anchorId="3D9274DC" wp14:editId="369A0319">
            <wp:extent cx="1368066" cy="233572"/>
            <wp:effectExtent l="0" t="0" r="0" b="0"/>
            <wp:docPr id="11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68066" cy="23357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1F1F1F"/>
        </w:rPr>
        <w:t xml:space="preserve"> (Se elimina la máscara causal del NLP para ver en todas direcciones).</w:t>
      </w:r>
    </w:p>
    <w:p w14:paraId="14C0E17C" w14:textId="77777777" w:rsidR="00790571" w:rsidRDefault="00DB58DC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 w:rsidRPr="002104E6">
        <w:rPr>
          <w:b/>
          <w:bCs/>
          <w:color w:val="1F1F1F"/>
          <w:lang w:val="en-US"/>
        </w:rPr>
        <w:t>Innovación Reciente:</w:t>
      </w:r>
      <w:r w:rsidRPr="002104E6">
        <w:rPr>
          <w:color w:val="1F1F1F"/>
          <w:lang w:val="en-US"/>
        </w:rPr>
        <w:t xml:space="preserve"> </w:t>
      </w:r>
      <w:r w:rsidRPr="002104E6">
        <w:rPr>
          <w:i/>
          <w:iCs/>
          <w:color w:val="1F1F1F"/>
          <w:lang w:val="en-US"/>
        </w:rPr>
        <w:t>Cross-Scale Token Routing</w:t>
      </w:r>
      <w:r w:rsidRPr="002104E6">
        <w:rPr>
          <w:color w:val="1F1F1F"/>
          <w:lang w:val="en-US"/>
        </w:rPr>
        <w:t xml:space="preserve">. </w:t>
      </w:r>
      <w:r>
        <w:rPr>
          <w:color w:val="1F1F1F"/>
        </w:rPr>
        <w:t>Los modelos ahora enrutan la atención dinámicamente, ignorando fondos redundantes y enfocando los cálculos en áreas críticas (texto, objetos), acelerando el procesamiento.</w:t>
      </w:r>
    </w:p>
    <w:p w14:paraId="4697128F" w14:textId="77777777" w:rsidR="00790571" w:rsidRDefault="00DB58DC">
      <w:pPr>
        <w:pStyle w:val="Ttulo3"/>
        <w:spacing w:before="120" w:after="120" w:line="275" w:lineRule="auto"/>
        <w:rPr>
          <w:color w:val="1F1F1F"/>
        </w:rPr>
      </w:pPr>
      <w:r>
        <w:rPr>
          <w:color w:val="1F1F1F"/>
        </w:rPr>
        <w:lastRenderedPageBreak/>
        <w:t>2.2 ViT-5: La Arquitectura Contemporánea (Mid-2020s)</w:t>
      </w:r>
    </w:p>
    <w:p w14:paraId="2CAFE0DA" w14:textId="77777777" w:rsidR="00790571" w:rsidRDefault="00DB58DC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color w:val="1F1F1F"/>
        </w:rPr>
      </w:pPr>
      <w:r>
        <w:rPr>
          <w:color w:val="1F1F1F"/>
        </w:rPr>
        <w:t xml:space="preserve">Presentado en 2026, </w:t>
      </w:r>
      <w:r>
        <w:rPr>
          <w:b/>
          <w:bCs/>
          <w:color w:val="1F1F1F"/>
        </w:rPr>
        <w:t>ViT-5</w:t>
      </w:r>
      <w:r>
        <w:rPr>
          <w:color w:val="1F1F1F"/>
        </w:rPr>
        <w:t xml:space="preserve"> consolida cinco años de refinamientos tomados de los Grandes Modelos de Lenguaje (</w:t>
      </w:r>
      <w:proofErr w:type="spellStart"/>
      <w:r>
        <w:rPr>
          <w:color w:val="1F1F1F"/>
        </w:rPr>
        <w:t>LLMs</w:t>
      </w:r>
      <w:proofErr w:type="spellEnd"/>
      <w:r>
        <w:rPr>
          <w:color w:val="1F1F1F"/>
        </w:rPr>
        <w:t>) y los adapta específicamente a la visión.</w:t>
      </w:r>
    </w:p>
    <w:p w14:paraId="7251CA0F" w14:textId="77777777" w:rsidR="00790571" w:rsidRDefault="00DB58DC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Normalización Estricta:</w:t>
      </w:r>
      <w:r>
        <w:rPr>
          <w:color w:val="1F1F1F"/>
        </w:rPr>
        <w:t xml:space="preserve"> Incorpora </w:t>
      </w:r>
      <w:proofErr w:type="spellStart"/>
      <w:r>
        <w:rPr>
          <w:color w:val="1F1F1F"/>
        </w:rPr>
        <w:t>RMSNorm</w:t>
      </w:r>
      <w:proofErr w:type="spellEnd"/>
      <w:r>
        <w:rPr>
          <w:color w:val="1F1F1F"/>
        </w:rPr>
        <w:t xml:space="preserve"> y, crucialmente, </w:t>
      </w:r>
      <w:r>
        <w:rPr>
          <w:b/>
          <w:bCs/>
          <w:color w:val="1F1F1F"/>
        </w:rPr>
        <w:t>QK-</w:t>
      </w:r>
      <w:proofErr w:type="spellStart"/>
      <w:r>
        <w:rPr>
          <w:b/>
          <w:bCs/>
          <w:color w:val="1F1F1F"/>
        </w:rPr>
        <w:t>Norm</w:t>
      </w:r>
      <w:proofErr w:type="spellEnd"/>
      <w:r>
        <w:rPr>
          <w:color w:val="1F1F1F"/>
        </w:rPr>
        <w:t xml:space="preserve"> (normalización directa sobre las </w:t>
      </w:r>
      <w:proofErr w:type="spellStart"/>
      <w:r>
        <w:rPr>
          <w:color w:val="1F1F1F"/>
        </w:rPr>
        <w:t>Queries</w:t>
      </w:r>
      <w:proofErr w:type="spellEnd"/>
      <w:r>
        <w:rPr>
          <w:color w:val="1F1F1F"/>
        </w:rPr>
        <w:t xml:space="preserve"> y </w:t>
      </w:r>
      <w:proofErr w:type="spellStart"/>
      <w:r>
        <w:rPr>
          <w:color w:val="1F1F1F"/>
        </w:rPr>
        <w:t>Keys</w:t>
      </w:r>
      <w:proofErr w:type="spellEnd"/>
      <w:r>
        <w:rPr>
          <w:color w:val="1F1F1F"/>
        </w:rPr>
        <w:t xml:space="preserve"> antes de calcular la atención). Esto suaviza el entrenamiento, previniendo los picos de pérdida que afectaban a los </w:t>
      </w:r>
      <w:proofErr w:type="spellStart"/>
      <w:r>
        <w:rPr>
          <w:color w:val="1F1F1F"/>
        </w:rPr>
        <w:t>ViT</w:t>
      </w:r>
      <w:proofErr w:type="spellEnd"/>
      <w:r>
        <w:rPr>
          <w:color w:val="1F1F1F"/>
        </w:rPr>
        <w:t xml:space="preserve"> originales.</w:t>
      </w:r>
    </w:p>
    <w:p w14:paraId="46C18A80" w14:textId="77777777" w:rsidR="00790571" w:rsidRDefault="00DB58DC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b/>
          <w:bCs/>
          <w:color w:val="1F1F1F"/>
        </w:rPr>
        <w:t>Control de Escala (</w:t>
      </w:r>
      <w:proofErr w:type="spellStart"/>
      <w:r>
        <w:rPr>
          <w:b/>
          <w:bCs/>
          <w:color w:val="1F1F1F"/>
        </w:rPr>
        <w:t>LayerScale</w:t>
      </w:r>
      <w:proofErr w:type="spellEnd"/>
      <w:r>
        <w:rPr>
          <w:b/>
          <w:bCs/>
          <w:color w:val="1F1F1F"/>
        </w:rPr>
        <w:t>):</w:t>
      </w:r>
      <w:r>
        <w:rPr>
          <w:color w:val="1F1F1F"/>
        </w:rPr>
        <w:t xml:space="preserve"> Estabiliza la optimización en redes muy profundas mediante pesos adaptativos por canal, pero (a diferencia de los </w:t>
      </w:r>
      <w:proofErr w:type="spellStart"/>
      <w:r>
        <w:rPr>
          <w:color w:val="1F1F1F"/>
        </w:rPr>
        <w:t>LLMs</w:t>
      </w:r>
      <w:proofErr w:type="spellEnd"/>
      <w:r>
        <w:rPr>
          <w:color w:val="1F1F1F"/>
        </w:rPr>
        <w:t xml:space="preserve">) evita deliberadamente compuertas como </w:t>
      </w:r>
      <w:proofErr w:type="spellStart"/>
      <w:r>
        <w:rPr>
          <w:color w:val="1F1F1F"/>
        </w:rPr>
        <w:t>SwiGLU</w:t>
      </w:r>
      <w:proofErr w:type="spellEnd"/>
      <w:r>
        <w:rPr>
          <w:color w:val="1F1F1F"/>
        </w:rPr>
        <w:t>, que en visión provocan una sobrerregulación perjudicial.</w:t>
      </w:r>
    </w:p>
    <w:p w14:paraId="09EB1D74" w14:textId="77777777" w:rsidR="00790571" w:rsidRDefault="00DB58DC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rPr>
          <w:b/>
          <w:bCs/>
          <w:color w:val="1F1F1F"/>
        </w:rPr>
      </w:pPr>
      <w:r>
        <w:rPr>
          <w:b/>
          <w:bCs/>
          <w:color w:val="1F1F1F"/>
        </w:rPr>
        <w:t>Citas Académicas (</w:t>
      </w:r>
      <w:proofErr w:type="spellStart"/>
      <w:r>
        <w:rPr>
          <w:b/>
          <w:bCs/>
          <w:color w:val="1F1F1F"/>
        </w:rPr>
        <w:t>ViT</w:t>
      </w:r>
      <w:proofErr w:type="spellEnd"/>
      <w:r>
        <w:rPr>
          <w:b/>
          <w:bCs/>
          <w:color w:val="1F1F1F"/>
        </w:rPr>
        <w:t xml:space="preserve"> de Vanguardia):</w:t>
      </w:r>
    </w:p>
    <w:p w14:paraId="1BD5B386" w14:textId="77777777" w:rsidR="00790571" w:rsidRDefault="00DB58DC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b/>
          <w:bCs/>
          <w:color w:val="1F1F1F"/>
        </w:rPr>
        <w:t>ViT</w:t>
      </w:r>
      <w:proofErr w:type="spellEnd"/>
      <w:r>
        <w:rPr>
          <w:b/>
          <w:bCs/>
          <w:color w:val="1F1F1F"/>
        </w:rPr>
        <w:t xml:space="preserve"> Original:</w:t>
      </w:r>
      <w:r>
        <w:rPr>
          <w:color w:val="1F1F1F"/>
        </w:rPr>
        <w:t xml:space="preserve"> </w:t>
      </w:r>
      <w:proofErr w:type="spellStart"/>
      <w:r>
        <w:rPr>
          <w:color w:val="1F1F1F"/>
        </w:rPr>
        <w:t>Dosovitskiy</w:t>
      </w:r>
      <w:proofErr w:type="spellEnd"/>
      <w:r>
        <w:rPr>
          <w:color w:val="1F1F1F"/>
        </w:rPr>
        <w:t xml:space="preserve">, A., et al. (2021). </w:t>
      </w:r>
      <w:r w:rsidRPr="002104E6">
        <w:rPr>
          <w:i/>
          <w:iCs/>
          <w:color w:val="1F1F1F"/>
          <w:lang w:val="en-US"/>
        </w:rPr>
        <w:t>An Image is Worth 16x16 Words</w:t>
      </w:r>
      <w:r w:rsidRPr="002104E6">
        <w:rPr>
          <w:color w:val="1F1F1F"/>
          <w:lang w:val="en-US"/>
        </w:rPr>
        <w:t xml:space="preserve">. </w:t>
      </w:r>
      <w:r>
        <w:rPr>
          <w:color w:val="1F1F1F"/>
        </w:rPr>
        <w:t>ICLR.</w:t>
      </w:r>
    </w:p>
    <w:p w14:paraId="7054E0FC" w14:textId="77777777" w:rsidR="00790571" w:rsidRPr="002104E6" w:rsidRDefault="00DB58DC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lang w:val="en-US"/>
        </w:rPr>
      </w:pPr>
      <w:r w:rsidRPr="002104E6">
        <w:rPr>
          <w:b/>
          <w:bCs/>
          <w:color w:val="1F1F1F"/>
          <w:lang w:val="en-US"/>
        </w:rPr>
        <w:t>ViT-5 (Estado del Arte 2026):</w:t>
      </w:r>
      <w:r w:rsidRPr="002104E6">
        <w:rPr>
          <w:color w:val="1F1F1F"/>
          <w:lang w:val="en-US"/>
        </w:rPr>
        <w:t xml:space="preserve"> Wang, F., Ren, S., Zhang, T., Neskovic, P., Bhattad, A., Xie, C., &amp; Yuille, A. (2026). </w:t>
      </w:r>
      <w:r w:rsidRPr="002104E6">
        <w:rPr>
          <w:i/>
          <w:iCs/>
          <w:color w:val="1F1F1F"/>
          <w:lang w:val="en-US"/>
        </w:rPr>
        <w:t>ViT-5: Vision Transformers for The Mid-2020s</w:t>
      </w:r>
      <w:r w:rsidRPr="002104E6">
        <w:rPr>
          <w:color w:val="1F1F1F"/>
          <w:lang w:val="en-US"/>
        </w:rPr>
        <w:t>. arXiv:2602.08071.</w:t>
      </w:r>
    </w:p>
    <w:p w14:paraId="0348246D" w14:textId="77777777" w:rsidR="00790571" w:rsidRDefault="00DB58DC">
      <w:pPr>
        <w:pBdr>
          <w:top w:val="nil"/>
          <w:left w:val="nil"/>
          <w:bottom w:val="nil"/>
          <w:right w:val="nil"/>
          <w:between w:val="nil"/>
        </w:pBdr>
        <w:spacing w:before="120" w:after="187" w:line="275" w:lineRule="auto"/>
        <w:rPr>
          <w:i/>
          <w:iCs/>
          <w:color w:val="1F1F1F"/>
        </w:rPr>
      </w:pPr>
      <w:r>
        <w:rPr>
          <w:i/>
          <w:iCs/>
          <w:color w:val="1F1F1F"/>
        </w:rPr>
        <w:t>Documento compilado a partir de ecuaciones fundamentales, verificadas y actualizadas contra la literatura académica del estado del arte (2025-2026) en Visión Artificial.</w:t>
      </w:r>
    </w:p>
    <w:sectPr w:rsidR="00790571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860A094D-EC8B-40B4-8EAB-1C387221FE8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DFEAFE88-F6E2-4D9E-A293-D17C3CDA558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C1C6B12D-4D4C-4C66-95F8-2A08A913DF3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CB14D4"/>
    <w:multiLevelType w:val="multilevel"/>
    <w:tmpl w:val="6EC03B9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BA745EA"/>
    <w:multiLevelType w:val="multilevel"/>
    <w:tmpl w:val="DFEE4E96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17BF1F56"/>
    <w:multiLevelType w:val="multilevel"/>
    <w:tmpl w:val="BECAFB2C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27941DBE"/>
    <w:multiLevelType w:val="multilevel"/>
    <w:tmpl w:val="862E35BA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293F0999"/>
    <w:multiLevelType w:val="multilevel"/>
    <w:tmpl w:val="C87A8742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406532FB"/>
    <w:multiLevelType w:val="multilevel"/>
    <w:tmpl w:val="FFE47216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4090271F"/>
    <w:multiLevelType w:val="multilevel"/>
    <w:tmpl w:val="237477B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494C3477"/>
    <w:multiLevelType w:val="multilevel"/>
    <w:tmpl w:val="FB92CF1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539836F5"/>
    <w:multiLevelType w:val="multilevel"/>
    <w:tmpl w:val="07DAADB2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5C057BAB"/>
    <w:multiLevelType w:val="multilevel"/>
    <w:tmpl w:val="646AC078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63D361E8"/>
    <w:multiLevelType w:val="multilevel"/>
    <w:tmpl w:val="B7384F4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749541B0"/>
    <w:multiLevelType w:val="multilevel"/>
    <w:tmpl w:val="8F3A453A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857426275">
    <w:abstractNumId w:val="1"/>
  </w:num>
  <w:num w:numId="2" w16cid:durableId="1239748367">
    <w:abstractNumId w:val="3"/>
  </w:num>
  <w:num w:numId="3" w16cid:durableId="741683392">
    <w:abstractNumId w:val="4"/>
  </w:num>
  <w:num w:numId="4" w16cid:durableId="659848464">
    <w:abstractNumId w:val="9"/>
  </w:num>
  <w:num w:numId="5" w16cid:durableId="306398579">
    <w:abstractNumId w:val="2"/>
  </w:num>
  <w:num w:numId="6" w16cid:durableId="1099790634">
    <w:abstractNumId w:val="0"/>
  </w:num>
  <w:num w:numId="7" w16cid:durableId="1058240983">
    <w:abstractNumId w:val="6"/>
  </w:num>
  <w:num w:numId="8" w16cid:durableId="389577044">
    <w:abstractNumId w:val="5"/>
  </w:num>
  <w:num w:numId="9" w16cid:durableId="1958831003">
    <w:abstractNumId w:val="8"/>
  </w:num>
  <w:num w:numId="10" w16cid:durableId="1215461085">
    <w:abstractNumId w:val="11"/>
  </w:num>
  <w:num w:numId="11" w16cid:durableId="881941720">
    <w:abstractNumId w:val="10"/>
  </w:num>
  <w:num w:numId="12" w16cid:durableId="167440966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0571"/>
    <w:rsid w:val="002104E6"/>
    <w:rsid w:val="00790571"/>
    <w:rsid w:val="00DB58DC"/>
    <w:rsid w:val="00DC1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F82481"/>
  <w15:docId w15:val="{5690BC89-0980-423B-B01B-56458EC478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CL" w:eastAsia="es-CL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817</Words>
  <Characters>4495</Characters>
  <Application>Microsoft Office Word</Application>
  <DocSecurity>0</DocSecurity>
  <Lines>37</Lines>
  <Paragraphs>10</Paragraphs>
  <ScaleCrop>false</ScaleCrop>
  <Company/>
  <LinksUpToDate>false</LinksUpToDate>
  <CharactersWithSpaces>5302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Rodrigo Andrés Jofré Cerda</cp:lastModifiedBy>
  <cp:revision>2</cp:revision>
  <dcterms:created xsi:type="dcterms:W3CDTF">2026-09-01T20:13:00Z</dcterms:created>
  <dcterms:modified xsi:type="dcterms:W3CDTF">2026-09-01T20:13:00Z</dcterms:modified>
</cp:coreProperties>
</file>