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Customer due diligence — restricted</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AML &amp; KYC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Identity, beneficial ownership, screening, source of funds, risk rating and the onboarding decision.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RESTRICTED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RETAINED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AUDITABLE</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ASSESSMENT OUTCOME</w:t>
            </w:r>
            <w:r>
              <w:rPr>
                <w:rFonts w:ascii="Calibri" w:hAnsi="Calibri" w:cs="Calibri" w:eastAsia="Calibri"/>
                <w:b/>
                <w:i w:val="0"/>
                <w:caps w:val="1"/>
                <w:color w:val="4C5B73"/>
                <w:spacing w:val="24"/>
                <w:sz w:val="14"/>
                <w:u w:val="none"/>
              </w:rPr>
              <w:t xml:space="preserve">     CONFIDENCE: MEDIUM RISK</w:t>
            </w:r>
          </w:p>
          <w:p>
            <w:pPr>
              <w:keepNext w:val="0"/>
              <w:keepLines/>
              <w:pageBreakBefore w:val="0"/>
              <w:widowControl w:val="1"/>
              <w:spacing w:before="0" w:after="120" w:line="298" w:lineRule="auto"/>
            </w:pPr>
            <w:r>
              <w:rPr>
                <w:rFonts w:ascii="Calibri" w:hAnsi="Calibri" w:cs="Calibri" w:eastAsia="Calibri"/>
                <w:b/>
                <w:i w:val="0"/>
                <w:color w:val="0C2340"/>
                <w:sz w:val="22"/>
                <w:u w:val="none"/>
              </w:rPr>
              <w:t>Accept with enhanced controls. Customer risk rating: MEDIUM.</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Identity and beneficial ownership are fully verified against primary documents. Screening returned no sanctions or adverse media matches. One beneficial owner is a domestic politically exposed person, which triggers enhanced due diligence and senior approval under the programme.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Senior compliance approval obtained before onboarding (recorded below).</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Source of wealth evidence obtained and retained.</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Review frequency set to 12 months rather than 36.</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Customer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Legal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Example Holdings Pty Ltd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Customer type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Australian proprietary company</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ACN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600 123 456</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ABN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12 600 123 456</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Registered address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Level 4, 100 Sample Street, Sydney NSW 2000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Principal activity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Property investment</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type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Investor client</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Case reference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AML-2026-0418</w:t>
                  </w:r>
                </w:p>
              </w:tc>
            </w:tr>
          </w:tbl>
          <w:p/>
        </w:tc>
      </w:tr>
    </w:tbl>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Identity verification</w:t>
      </w:r>
    </w:p>
    <w:p>
      <w:pPr>
        <w:keepNext/>
        <w:keepLines/>
        <w:pageBreakBefore w:val="0"/>
        <w:widowControl w:val="1"/>
        <w:spacing w:before="0" w:after="100"/>
      </w:pPr>
      <w:r>
        <w:rPr>
          <w:rFonts w:ascii="Calibri" w:hAnsi="Calibri" w:cs="Calibri" w:eastAsia="Calibri"/>
          <w:b/>
          <w:i w:val="0"/>
          <w:caps w:val="1"/>
          <w:color w:val="4C5B73"/>
          <w:spacing w:val="26"/>
          <w:sz w:val="15"/>
          <w:u w:val="none"/>
        </w:rPr>
        <w:t>Primary documents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Documents verified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ocuments verified"/>
        <w:tblDescription w:val="Columns: Ref, Subject, Document, Number, Expiry, Method, Status"/>
      </w:tblPr>
      <w:tblGrid>
        <w:gridCol w:w="769"/>
        <w:gridCol w:w="1538"/>
        <w:gridCol w:w="2114"/>
        <w:gridCol w:w="1442"/>
        <w:gridCol w:w="1057"/>
        <w:gridCol w:w="1922"/>
        <w:gridCol w:w="1249"/>
      </w:tblGrid>
      <w:tr>
        <w:trPr>
          <w:cantSplit/>
          <w:tblHeader/>
        </w:trPr>
        <w:tc>
          <w:tcPr>
            <w:tcW w:type="dxa" w:w="7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15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Subject</w:t>
            </w:r>
          </w:p>
        </w:tc>
        <w:tc>
          <w:tcPr>
            <w:tcW w:type="dxa" w:w="211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14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Number</w:t>
            </w:r>
          </w:p>
        </w:tc>
        <w:tc>
          <w:tcPr>
            <w:tcW w:type="dxa" w:w="105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c>
          <w:tcPr>
            <w:tcW w:type="dxa" w:w="192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Method</w:t>
            </w:r>
          </w:p>
        </w:tc>
        <w:tc>
          <w:tcPr>
            <w:tcW w:type="dxa" w:w="124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PA1234567</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04/2031</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 + visual</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Driver licence (NSW)</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12345678</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09/2029</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 Nguyen</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PB7654321</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11/2028</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 + visual</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Example Holdings</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ASIC company extract</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600123456</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Registry search</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Beneficial ownership</w:t>
      </w:r>
    </w:p>
    <w:p>
      <w:pPr>
        <w:keepNext/>
        <w:keepLines/>
        <w:pageBreakBefore w:val="0"/>
        <w:widowControl w:val="1"/>
        <w:spacing w:before="0" w:after="100"/>
      </w:pPr>
      <w:r>
        <w:rPr>
          <w:rFonts w:ascii="Calibri" w:hAnsi="Calibri" w:cs="Calibri" w:eastAsia="Calibri"/>
          <w:b/>
          <w:i w:val="0"/>
          <w:caps w:val="1"/>
          <w:color w:val="4C5B73"/>
          <w:spacing w:val="26"/>
          <w:sz w:val="15"/>
          <w:u w:val="none"/>
        </w:rPr>
        <w:t>25% threshold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Owners and controllers at or above 25%</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wners and controllers at or above 25%"/>
        <w:tblDescription w:val="Columns: Ref, Beneficial owner, Interest, Basis, Verified, Status"/>
      </w:tblPr>
      <w:tblGrid>
        <w:gridCol w:w="868"/>
        <w:gridCol w:w="2496"/>
        <w:gridCol w:w="1302"/>
        <w:gridCol w:w="2496"/>
        <w:gridCol w:w="1519"/>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49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Beneficial owner</w:t>
            </w:r>
          </w:p>
        </w:tc>
        <w:tc>
          <w:tcPr>
            <w:tcW w:type="dxa" w:w="130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Interest</w:t>
            </w:r>
          </w:p>
        </w:tc>
        <w:tc>
          <w:tcPr>
            <w:tcW w:type="dxa" w:w="249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51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Verified</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30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60%</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Direct shareholding</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1.1, 1.2</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 Nguyen</w:t>
            </w:r>
          </w:p>
        </w:tc>
        <w:tc>
          <w:tcPr>
            <w:tcW w:type="dxa" w:w="130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Direct shareholding</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30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Control</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Sole director</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Screening</w:t>
      </w:r>
    </w:p>
    <w:p>
      <w:pPr>
        <w:keepNext/>
        <w:keepLines/>
        <w:pageBreakBefore w:val="0"/>
        <w:widowControl w:val="1"/>
        <w:spacing w:before="0" w:after="100"/>
      </w:pPr>
      <w:r>
        <w:rPr>
          <w:rFonts w:ascii="Calibri" w:hAnsi="Calibri" w:cs="Calibri" w:eastAsia="Calibri"/>
          <w:b/>
          <w:i w:val="0"/>
          <w:caps w:val="1"/>
          <w:color w:val="4C5B73"/>
          <w:spacing w:val="26"/>
          <w:sz w:val="15"/>
          <w:u w:val="none"/>
        </w:rPr>
        <w:t>PEP, sanctions, adverse media</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Screening performed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creening performed"/>
        <w:tblDescription w:val="Columns: Ref, Subject, Check, Provider, Date, Result, Status"/>
      </w:tblPr>
      <w:tblGrid>
        <w:gridCol w:w="741"/>
        <w:gridCol w:w="1481"/>
        <w:gridCol w:w="1481"/>
        <w:gridCol w:w="1574"/>
        <w:gridCol w:w="1389"/>
        <w:gridCol w:w="2222"/>
        <w:gridCol w:w="1204"/>
      </w:tblGrid>
      <w:tr>
        <w:trPr>
          <w:cantSplit/>
          <w:tblHeader/>
        </w:trPr>
        <w:tc>
          <w:tcPr>
            <w:tcW w:type="dxa" w:w="74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14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Subject</w:t>
            </w:r>
          </w:p>
        </w:tc>
        <w:tc>
          <w:tcPr>
            <w:tcW w:type="dxa" w:w="14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Check</w:t>
            </w:r>
          </w:p>
        </w:tc>
        <w:tc>
          <w:tcPr>
            <w:tcW w:type="dxa" w:w="157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Provider</w:t>
            </w:r>
          </w:p>
        </w:tc>
        <w:tc>
          <w:tcPr>
            <w:tcW w:type="dxa" w:w="138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22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Result</w:t>
            </w:r>
          </w:p>
        </w:tc>
        <w:tc>
          <w:tcPr>
            <w:tcW w:type="dxa" w:w="120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Sanctions</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0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PEP</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Domestic PEP — local council</w:t>
            </w:r>
          </w:p>
        </w:tc>
        <w:tc>
          <w:tcPr>
            <w:tcW w:type="dxa" w:w="1204"/>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3.3</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Adverse media</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0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3.4</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Sanctions / PEP / media</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0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Source of funds and wealth</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ource of funds and wealth"/>
        <w:tblDescription w:val="Columns: Element, Declared, Evidence obtained, Assessment"/>
      </w:tblPr>
      <w:tblGrid>
        <w:gridCol w:w="1794"/>
        <w:gridCol w:w="3140"/>
        <w:gridCol w:w="2803"/>
        <w:gridCol w:w="2355"/>
      </w:tblGrid>
      <w:tr>
        <w:trPr>
          <w:cantSplit/>
          <w:trHeight w:val="420" w:hRule="atLeast"/>
          <w:tblHeader/>
        </w:trPr>
        <w:tc>
          <w:tcPr>
            <w:tcW w:type="dxa" w:w="179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Element</w:t>
            </w:r>
          </w:p>
        </w:tc>
        <w:tc>
          <w:tcPr>
            <w:tcW w:type="dxa" w:w="314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Declared</w:t>
            </w:r>
          </w:p>
        </w:tc>
        <w:tc>
          <w:tcPr>
            <w:tcW w:type="dxa" w:w="2803"/>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 obtained</w:t>
            </w:r>
          </w:p>
        </w:tc>
        <w:tc>
          <w:tcPr>
            <w:tcW w:type="dxa" w:w="235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w:t>
            </w:r>
          </w:p>
        </w:tc>
      </w:tr>
      <w:tr>
        <w:trPr>
          <w:cantSplit/>
          <w:trHeight w:val="397" w:hRule="atLeast"/>
        </w:trPr>
        <w:tc>
          <w:tcPr>
            <w:tcW w:type="dxa" w:w="17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funds</w:t>
            </w:r>
          </w:p>
        </w:tc>
        <w:tc>
          <w:tcPr>
            <w:tcW w:type="dxa" w:w="31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Sale of prior investment property, Mar 2026</w:t>
            </w:r>
          </w:p>
        </w:tc>
        <w:tc>
          <w:tcPr>
            <w:tcW w:type="dxa" w:w="280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statement, bank statement</w:t>
            </w:r>
          </w:p>
        </w:tc>
        <w:tc>
          <w:tcPr>
            <w:tcW w:type="dxa" w:w="235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Consistent and corroborated</w:t>
            </w:r>
          </w:p>
        </w:tc>
      </w:tr>
      <w:tr>
        <w:trPr>
          <w:cantSplit/>
          <w:trHeight w:val="397" w:hRule="atLeast"/>
        </w:trPr>
        <w:tc>
          <w:tcPr>
            <w:tcW w:type="dxa" w:w="17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wealth</w:t>
            </w:r>
          </w:p>
        </w:tc>
        <w:tc>
          <w:tcPr>
            <w:tcW w:type="dxa" w:w="31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Salaried employment and property investment since 2009</w:t>
            </w:r>
          </w:p>
        </w:tc>
        <w:tc>
          <w:tcPr>
            <w:tcW w:type="dxa" w:w="280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years tax returns, ASIC extract</w:t>
            </w:r>
          </w:p>
        </w:tc>
        <w:tc>
          <w:tcPr>
            <w:tcW w:type="dxa" w:w="235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Consistent with profile</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4   </w:t>
      </w:r>
      <w:r>
        <w:rPr>
          <w:rFonts w:ascii="Calibri" w:hAnsi="Calibri" w:cs="Calibri" w:eastAsia="Calibri"/>
          <w:b w:val="0"/>
          <w:i w:val="0"/>
          <w:color w:val="0C2340"/>
          <w:sz w:val="34"/>
          <w:u w:val="none"/>
        </w:rPr>
        <w:t>Risk rating</w:t>
      </w:r>
    </w:p>
    <w:p>
      <w:pPr>
        <w:keepNext/>
        <w:keepLines/>
        <w:pageBreakBefore w:val="0"/>
        <w:widowControl w:val="1"/>
        <w:spacing w:before="0" w:after="100"/>
      </w:pPr>
      <w:r>
        <w:rPr>
          <w:rFonts w:ascii="Calibri" w:hAnsi="Calibri" w:cs="Calibri" w:eastAsia="Calibri"/>
          <w:b/>
          <w:i w:val="0"/>
          <w:caps w:val="1"/>
          <w:color w:val="4C5B73"/>
          <w:spacing w:val="26"/>
          <w:sz w:val="15"/>
          <w:u w:val="none"/>
        </w:rPr>
        <w:t>Rating and its basis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CUSTOMER</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PRODUCT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CHANNEL</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OVERALL</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MEDIUM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PEP association</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LOW</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Standard advisory</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LOW</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Face to face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MEDIUM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Highest applies</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Risk factors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 factors"/>
        <w:tblDescription w:val="Columns: Ref, Risk factor, Assessment, Weighting, Rating"/>
      </w:tblPr>
      <w:tblGrid>
        <w:gridCol w:w="868"/>
        <w:gridCol w:w="3038"/>
        <w:gridCol w:w="3255"/>
        <w:gridCol w:w="1519"/>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Risk factor</w:t>
            </w:r>
          </w:p>
        </w:tc>
        <w:tc>
          <w:tcPr>
            <w:tcW w:type="dxa" w:w="325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w:t>
            </w:r>
          </w:p>
        </w:tc>
        <w:tc>
          <w:tcPr>
            <w:tcW w:type="dxa" w:w="151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Weighting</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Rating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Customer type — proprietary company</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structure, two owners</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Politically exposed person</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Domestic PEP, local government</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Elevated</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Geography</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resident, Australian assets</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Product and channel</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Advisory service, face to face</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Transaction pattern</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Consistent with declared profile</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Enhanced due diligence (applied because the rating is medium or above)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Enhanced due diligence (applied because the rating is medium or above)"/>
        <w:tblDescription w:val="Columns: Ref, Enhanced measure, Applied, Evidence, Status"/>
      </w:tblPr>
      <w:tblGrid>
        <w:gridCol w:w="868"/>
        <w:gridCol w:w="3581"/>
        <w:gridCol w:w="1194"/>
        <w:gridCol w:w="3038"/>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5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Enhanced measure</w:t>
            </w:r>
          </w:p>
        </w:tc>
        <w:tc>
          <w:tcPr>
            <w:tcW w:type="dxa" w:w="119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Applied</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5.1</w:t>
            </w:r>
          </w:p>
        </w:tc>
        <w:tc>
          <w:tcPr>
            <w:tcW w:type="dxa" w:w="35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Senior management approval before onboarding</w:t>
            </w:r>
          </w:p>
        </w:tc>
        <w:tc>
          <w:tcPr>
            <w:tcW w:type="dxa" w:w="1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Approval recorded below</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5.2</w:t>
            </w:r>
          </w:p>
        </w:tc>
        <w:tc>
          <w:tcPr>
            <w:tcW w:type="dxa" w:w="35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wealth established and evidenced</w:t>
            </w:r>
          </w:p>
        </w:tc>
        <w:tc>
          <w:tcPr>
            <w:tcW w:type="dxa" w:w="1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Tax returns, ASIC extract</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5.3</w:t>
            </w:r>
          </w:p>
        </w:tc>
        <w:tc>
          <w:tcPr>
            <w:tcW w:type="dxa" w:w="35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Enhanced ongoing monitoring — 12-month review</w:t>
            </w:r>
          </w:p>
        </w:tc>
        <w:tc>
          <w:tcPr>
            <w:tcW w:type="dxa" w:w="1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scheduled 29/07/2027</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Ongoing monitoring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frequency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months (enhanced)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Next review</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29/07/2027</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Trigger events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Change of ownership, adverse media, unusual transaction</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Monitoring owner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Compliance officer</w:t>
                  </w:r>
                </w:p>
              </w:tc>
            </w:tr>
          </w:tbl>
          <w:p/>
        </w:tc>
      </w:tr>
    </w:tbl>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Assessor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 Client Services</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 officer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Compliance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Senior management (PEP)</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 Osei, Director</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keepLines/>
        <w:pageBreakBefore w:val="1"/>
        <w:widowControl w:val="1"/>
        <w:spacing w:before="0" w:after="80"/>
      </w:pPr>
      <w:r>
        <w:rPr>
          <w:rFonts w:ascii="Calibri" w:hAnsi="Calibri" w:cs="Calibri" w:eastAsia="Calibri"/>
          <w:b/>
          <w:i w:val="0"/>
          <w:caps w:val="1"/>
          <w:color w:val="1D6FE0"/>
          <w:spacing w:val="50"/>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Evidence index</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12" w:lineRule="auto"/>
      </w:pPr>
      <w:r>
        <w:rPr>
          <w:rFonts w:ascii="Calibri" w:hAnsi="Calibri" w:cs="Calibri" w:eastAsia="Calibri"/>
          <w:b w:val="0"/>
          <w:i w:val="0"/>
          <w:color w:val="4C5B73"/>
          <w:sz w:val="19"/>
          <w:u w:val="none"/>
        </w:rPr>
        <w:t>Every document held for this assessment, with its storage reference and retention date.</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Ref, Document, Obtained, Storage reference, Retain until"/>
      </w:tblPr>
      <w:tblGrid>
        <w:gridCol w:w="887"/>
        <w:gridCol w:w="3770"/>
        <w:gridCol w:w="1553"/>
        <w:gridCol w:w="2218"/>
        <w:gridCol w:w="1663"/>
      </w:tblGrid>
      <w:tr>
        <w:trPr>
          <w:cantSplit/>
          <w:trHeight w:val="420" w:hRule="atLeast"/>
          <w:tblHeader/>
        </w:trPr>
        <w:tc>
          <w:tcPr>
            <w:tcW w:type="dxa" w:w="8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77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1553"/>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Obtained</w:t>
            </w:r>
          </w:p>
        </w:tc>
        <w:tc>
          <w:tcPr>
            <w:tcW w:type="dxa" w:w="221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Storage reference</w:t>
            </w:r>
          </w:p>
        </w:tc>
        <w:tc>
          <w:tcPr>
            <w:tcW w:type="dxa" w:w="1663"/>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Retain until</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 — J. Nguyen</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DOC-88412</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 — S. Nguyen</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DOC-88413</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ASIC company extract</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DOC-88414</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report</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DOC-88415</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wealth pack</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DOC-88416</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bl>
    <w:p>
      <w:pPr>
        <w:keepNext/>
        <w:keepLines/>
        <w:pageBreakBefore w:val="1"/>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Retention</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assessment and its supporting evidence are retained for seven years from the end of the customer relationship, in accordance with the organisation's AML/CTF programme.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Tipping off</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may contain information the disclosure of which to the customer or a third party could constitute an offence. Do not disclose the contents outside the authorised recipients without compliance approval.</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AML &amp; KYC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&amp; KYC Assessment</dc:title>
  <dc:subject>Customer due-diligence record: identity, beneficial ownership, PEP and sanctions screening, source of funds, risk rating and the decision.</dc:subject>
  <dc:creator>Aurixa Systems</dc:creator>
  <cp:keywords>AML, KYC, Customer due diligence, Onboarding compliance, Compliance &amp; Governance,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