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8"/>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2"/>
                <w:sz w:val="16"/>
                <w:u w:val="none"/>
              </w:rPr>
              <w:t>Board paper — commercial in confidence</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mbria" w:hAnsi="Cambria" w:cs="Cambria" w:eastAsia="Cambria"/>
                <w:b/>
                <w:i w:val="0"/>
                <w:color w:val="FFFFFF"/>
                <w:spacing w:val="4"/>
                <w:sz w:val="60"/>
                <w:u w:val="none"/>
              </w:rPr>
              <w:t>Delivery Capacity Re-weighting</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Proposal to move delivery capacity toward advisory and compliance work, funded from existing headcount.</w:t>
            </w:r>
          </w:p>
        </w:tc>
      </w:tr>
    </w:tbl>
    <w:p>
      <w:pPr>
        <w:keepNext w:val="0"/>
        <w:keepLines/>
        <w:pageBreakBefore w:val="0"/>
        <w:widowControl w:val="1"/>
        <w:spacing w:before="0" w:after="0" w:line="5613" w:lineRule="exact"/>
      </w:pPr>
      <w:r>
        <w:rPr>
          <w:sz w:val="2"/>
        </w:rPr>
      </w:r>
    </w:p>
    <w:p>
      <w:pPr>
        <w:keepNext w:val="0"/>
        <w:keepLines/>
        <w:pageBreakBefore w:val="0"/>
        <w:widowControl w:val="1"/>
        <w:pBdr>
          <w:bottom w:val="single" w:sz="8" w:space="1" w:color="1D6FE0"/>
        </w:pBdr>
        <w:spacing w:before="0" w:after="100" w:line="20" w:lineRule="exact"/>
      </w:pPr>
      <w:r>
        <w:rPr>
          <w:sz w:val="2"/>
        </w:rPr>
      </w:r>
    </w:p>
    <w:p>
      <w:pPr>
        <w:keepNext w:val="0"/>
        <w:keepLines/>
        <w:pageBreakBefore w:val="0"/>
        <w:widowControl w:val="1"/>
        <w:spacing w:before="0" w:after="0"/>
      </w:pPr>
      <w:r>
        <w:rPr>
          <w:rFonts w:ascii="Calibri" w:hAnsi="Calibri" w:cs="Calibri" w:eastAsia="Calibri"/>
          <w:b/>
          <w:i w:val="0"/>
          <w:caps w:val="1"/>
          <w:color w:val="0C2340"/>
          <w:spacing w:val="22"/>
          <w:sz w:val="14"/>
          <w:u w:val="none"/>
        </w:rPr>
        <w:t>APR-0418-01</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Version 1.0</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31 July 2026</w:t>
      </w:r>
    </w:p>
    <w:p>
      <w:pPr>
        <w:keepNext w:val="0"/>
        <w:keepLines/>
        <w:pageBreakBefore w:val="1"/>
        <w:widowControl w:val="1"/>
        <w:spacing w:before="0" w:after="0" w:line="1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Agenda item</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7.2</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Meeting date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19 August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Position</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{{author.title}}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Paper reference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{{document.reference}}</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Classification</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Commercial in confidence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Decision or noting</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For decision</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Previously considered</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Item 6.4, 20 May 2026</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mbria" w:hAnsi="Cambria" w:cs="Cambria" w:eastAsia="Cambria"/>
                <w:b/>
                <w:i w:val="0"/>
                <w:caps w:val="1"/>
                <w:color w:val="FFFFFF"/>
                <w:spacing w:val="38"/>
                <w:sz w:val="25"/>
                <w:u w:val="none"/>
              </w:rPr>
              <w:t>Purpose</w:t>
            </w:r>
          </w:p>
        </w:tc>
      </w:tr>
    </w:tbl>
    <w:p>
      <w:pPr>
        <w:keepNext w:val="1"/>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0" w:type="dxa"/>
              <w:left w:w="210" w:type="dxa"/>
              <w:bottom w:w="180" w:type="dxa"/>
              <w:right w:w="210" w:type="dxa"/>
            </w:tcMar>
          </w:tcPr>
          <w:p>
            <w:pPr>
              <w:keepNext/>
              <w:keepLines/>
              <w:pageBreakBefore w:val="0"/>
              <w:widowControl w:val="1"/>
              <w:spacing w:before="0" w:after="80"/>
            </w:pPr>
            <w:r>
              <w:rPr>
                <w:rFonts w:ascii="Calibri" w:hAnsi="Calibri" w:cs="Calibri" w:eastAsia="Calibri"/>
                <w:b/>
                <w:i w:val="0"/>
                <w:caps w:val="1"/>
                <w:color w:val="1554AE"/>
                <w:spacing w:val="30"/>
                <w:sz w:val="15"/>
                <w:u w:val="none"/>
              </w:rPr>
              <w:t>Purpose of this paper</w:t>
            </w:r>
          </w:p>
          <w:p>
            <w:pPr>
              <w:keepNext w:val="0"/>
              <w:keepLines/>
              <w:pageBreakBefore w:val="0"/>
              <w:widowControl w:val="1"/>
              <w:spacing w:before="0" w:after="0" w:line="322" w:lineRule="auto"/>
            </w:pPr>
            <w:r>
              <w:rPr>
                <w:rFonts w:ascii="Calibri" w:hAnsi="Calibri" w:cs="Calibri" w:eastAsia="Calibri"/>
                <w:b w:val="0"/>
                <w:i w:val="0"/>
                <w:color w:val="10192A"/>
                <w:sz w:val="17"/>
                <w:u w:val="none"/>
              </w:rPr>
              <w:t>To seek the board's approval to re-weight delivery capacity toward advisory and compliance work over two quarters, funded from the existing transactional team rather than net new hiring, and to approve the associated retraining budget of $84,000.</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mbria" w:hAnsi="Cambria" w:cs="Cambria" w:eastAsia="Cambria"/>
                <w:b/>
                <w:i w:val="0"/>
                <w:caps w:val="1"/>
                <w:color w:val="FFFFFF"/>
                <w:spacing w:val="38"/>
                <w:sz w:val="25"/>
                <w:u w:val="none"/>
              </w:rPr>
              <w:t>Recommendation</w:t>
            </w:r>
          </w:p>
        </w:tc>
      </w:tr>
    </w:tbl>
    <w:p>
      <w:pPr>
        <w:keepNext w:val="1"/>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80" w:type="dxa"/>
              <w:left w:w="210" w:type="dxa"/>
              <w:bottom w:w="180" w:type="dxa"/>
              <w:right w:w="210" w:type="dxa"/>
            </w:tcMar>
          </w:tcPr>
          <w:p>
            <w:pPr>
              <w:keepNext/>
              <w:keepLines/>
              <w:pageBreakBefore w:val="0"/>
              <w:widowControl w:val="1"/>
              <w:spacing w:before="0" w:after="100"/>
            </w:pPr>
            <w:r>
              <w:rPr>
                <w:rFonts w:ascii="Calibri" w:hAnsi="Calibri" w:cs="Calibri" w:eastAsia="Calibri"/>
                <w:b/>
                <w:i w:val="0"/>
                <w:caps w:val="1"/>
                <w:color w:val="1D6FE0"/>
                <w:spacing w:val="30"/>
                <w:sz w:val="15"/>
                <w:u w:val="none"/>
              </w:rPr>
              <w:t>MANAGEMENT RECOMMENDATION</w:t>
            </w:r>
          </w:p>
          <w:p>
            <w:pPr>
              <w:keepNext w:val="0"/>
              <w:keepLines/>
              <w:pageBreakBefore w:val="0"/>
              <w:widowControl w:val="1"/>
              <w:spacing w:before="0" w:after="120" w:line="298" w:lineRule="auto"/>
            </w:pPr>
            <w:r>
              <w:rPr>
                <w:rFonts w:ascii="Cambria" w:hAnsi="Cambria" w:cs="Cambria" w:eastAsia="Cambria"/>
                <w:b/>
                <w:i w:val="0"/>
                <w:color w:val="0C2340"/>
                <w:sz w:val="22"/>
                <w:u w:val="none"/>
              </w:rPr>
              <w:t>That the board approve the re-weighting of delivery capacity toward advisory and compliance over two quarters, together with a retraining and accreditation budget of $84,000, on the basis that no net new headcount is required and the change is reversible within one quarter.</w:t>
            </w:r>
          </w:p>
          <w:p>
            <w:pPr>
              <w:keepNext w:val="0"/>
              <w:keepLines/>
              <w:pageBreakBefore w:val="0"/>
              <w:widowControl w:val="1"/>
              <w:spacing w:before="0" w:after="0" w:line="322" w:lineRule="auto"/>
            </w:pPr>
            <w:r>
              <w:rPr>
                <w:rFonts w:ascii="Calibri" w:hAnsi="Calibri" w:cs="Calibri" w:eastAsia="Calibri"/>
                <w:b w:val="0"/>
                <w:i w:val="0"/>
                <w:color w:val="10192A"/>
                <w:sz w:val="17"/>
                <w:u w:val="none"/>
              </w:rPr>
              <w:t>The revenue mix has moved materially and has done so in each of the last four periods. Advisory utilisation reached 94% against a sustainable ceiling of 85% in the final month of the period, and four engagements were declined for capacity reasons. On the current trajectory the constraint binds in Q3.</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Next steps</w:t>
            </w:r>
          </w:p>
          <w:p>
            <w:pPr>
              <w:keepNext w:val="0"/>
              <w:keepLines/>
              <w:pageBreakBefore w:val="0"/>
              <w:widowControl w:val="1"/>
              <w:tabs>
                <w:tab w:val="left" w:pos="320"/>
              </w:tabs>
              <w:spacing w:before="0" w:after="0" w:line="32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Approve the retraining and accreditation budget of $84,000.</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Approve the transfer of four delivery staff between service lines.</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Note the advisory client concentration risk and the mitigation target.</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Background</w:t>
            </w:r>
          </w:p>
          <w:p>
            <w:pPr>
              <w:keepNext/>
              <w:keepLines/>
              <w:pageBreakBefore w:val="0"/>
              <w:widowControl w:val="1"/>
              <w:spacing w:before="0" w:after="0"/>
            </w:pPr>
            <w:r>
              <w:rPr>
                <w:rFonts w:ascii="Calibri" w:hAnsi="Calibri" w:cs="Calibri" w:eastAsia="Calibri"/>
                <w:b w:val="0"/>
                <w:i w:val="0"/>
                <w:caps w:val="1"/>
                <w:color w:val="1D6FE0"/>
                <w:spacing w:val="22"/>
                <w:sz w:val="14"/>
                <w:u w:val="none"/>
              </w:rPr>
              <w:t>What the board has already seen</w:t>
            </w:r>
          </w:p>
        </w:tc>
      </w:tr>
    </w:tbl>
    <w:p>
      <w:pPr>
        <w:keepNext w:val="1"/>
        <w:keepLines/>
        <w:pageBreakBefore w:val="0"/>
        <w:widowControl w:val="1"/>
        <w:spacing w:before="0" w:after="0" w:line="12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10192A"/>
          <w:sz w:val="19"/>
          <w:u w:val="none"/>
        </w:rPr>
        <w:t>At its meeting of 20 May 2026 the board considered item 6.4, which reported a shift in revenue mix toward advisory and compliance work and asked management to return with options once a further period of data was available.</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That data is now available. The period closed at $4.28m against a plan of $3.96m, a favourable variance of 8.1%, produced by 214 engagements against a plan of 243. Average engagement value rose from $16,300 to $20,000. The result is a mix effect rather than a pricing effect: like-for-like advisory pricing has been unchanged for seven quarters.</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The operating model, the resourcing plan and the pricing structure were all designed around the previous mix. This paper addresses the first of those three; pricing is the subject of a separate review reporting in Q2.</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Discussion</w:t>
            </w:r>
          </w:p>
          <w:p>
            <w:pPr>
              <w:keepNext/>
              <w:keepLines/>
              <w:pageBreakBefore w:val="0"/>
              <w:widowControl w:val="1"/>
              <w:spacing w:before="0" w:after="0"/>
            </w:pPr>
            <w:r>
              <w:rPr>
                <w:rFonts w:ascii="Calibri" w:hAnsi="Calibri" w:cs="Calibri" w:eastAsia="Calibri"/>
                <w:b w:val="0"/>
                <w:i w:val="0"/>
                <w:caps w:val="1"/>
                <w:color w:val="1D6FE0"/>
                <w:spacing w:val="22"/>
                <w:sz w:val="14"/>
                <w:u w:val="none"/>
              </w:rPr>
              <w:t>Management's analysis</w:t>
            </w:r>
          </w:p>
        </w:tc>
      </w:tr>
    </w:tbl>
    <w:p>
      <w:pPr>
        <w:keepNext w:val="1"/>
        <w:keepLines/>
        <w:pageBreakBefore w:val="0"/>
        <w:widowControl w:val="1"/>
        <w:spacing w:before="0" w:after="0" w:line="12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10192A"/>
          <w:sz w:val="19"/>
          <w:u w:val="none"/>
        </w:rPr>
        <w:t>Three findings bear on the decision. First, the mix shift is structural rather than seasonal: advisory and compliance growth has been positive in each of the last four periods, and the transactional decline tracks a market-wide fall in volumes rather than a loss of share — share in transactional work is unchanged at 4.1%.</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Second, delivery capacity rather than demand is now the binding constraint. Declined engagements are the clearest evidence: four in the period, all in advisory, all for capacity rather than fit or price.</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Third, the change contemplated is small and reversible. Four staff move between service lines over two quarters, staggered so that no more than two are out of production at any time. If transactional enquiry volumes recover, the same four staff can be returned within a quarter, and management proposes a formal re-weight trigger at a 15% recovery in transactional enquiry volume.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Financial impact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nancial impact"/>
        <w:tblDescription w:val="Columns: Item, Amount, Timing, Budget position, Note"/>
      </w:tblPr>
      <w:tblGrid>
        <w:gridCol w:w="2608"/>
        <w:gridCol w:w="1474"/>
        <w:gridCol w:w="1587"/>
        <w:gridCol w:w="1814"/>
        <w:gridCol w:w="2608"/>
      </w:tblGrid>
      <w:tr>
        <w:trPr>
          <w:cantSplit/>
          <w:trHeight w:val="420" w:hRule="atLeast"/>
          <w:tblHeader/>
        </w:trPr>
        <w:tc>
          <w:tcPr>
            <w:tcW w:type="dxa" w:w="260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474"/>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1587"/>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Timing</w:t>
            </w:r>
          </w:p>
        </w:tc>
        <w:tc>
          <w:tcPr>
            <w:tcW w:type="dxa" w:w="1814"/>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Budget position</w:t>
            </w:r>
          </w:p>
        </w:tc>
        <w:tc>
          <w:tcPr>
            <w:tcW w:type="dxa" w:w="260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260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Retraining and accreditation</w:t>
            </w:r>
          </w:p>
        </w:tc>
        <w:tc>
          <w:tcPr>
            <w:tcW w:type="dxa" w:w="1474"/>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$84,000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Q1 – Q2 FY27</w:t>
            </w:r>
          </w:p>
        </w:tc>
        <w:tc>
          <w:tcPr>
            <w:tcW w:type="dxa" w:w="1814"/>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Within budget</w:t>
            </w:r>
          </w:p>
        </w:tc>
        <w:tc>
          <w:tcPr>
            <w:tcW w:type="dxa" w:w="260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One-off cost</w:t>
            </w:r>
          </w:p>
        </w:tc>
      </w:tr>
      <w:tr>
        <w:trPr>
          <w:cantSplit/>
          <w:trHeight w:val="397" w:hRule="atLeast"/>
        </w:trPr>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Net new headcount cost</w:t>
            </w:r>
          </w:p>
        </w:tc>
        <w:tc>
          <w:tcPr>
            <w:tcW w:type="dxa" w:w="147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81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change</w:t>
            </w:r>
          </w:p>
        </w:tc>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Funded from the existing team</w:t>
            </w:r>
          </w:p>
        </w:tc>
      </w:tr>
      <w:tr>
        <w:trPr>
          <w:cantSplit/>
          <w:trHeight w:val="397" w:hRule="atLeast"/>
        </w:trPr>
        <w:tc>
          <w:tcPr>
            <w:tcW w:type="dxa" w:w="260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Forgone transactional revenue</w:t>
            </w:r>
          </w:p>
        </w:tc>
        <w:tc>
          <w:tcPr>
            <w:tcW w:type="dxa" w:w="1474"/>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$(196,000)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Q1 – Q2 FY27</w:t>
            </w:r>
          </w:p>
        </w:tc>
        <w:tc>
          <w:tcPr>
            <w:tcW w:type="dxa" w:w="1814"/>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Reforecast required</w:t>
            </w:r>
          </w:p>
        </w:tc>
        <w:tc>
          <w:tcPr>
            <w:tcW w:type="dxa" w:w="260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Two quarters of reduced production</w:t>
            </w:r>
          </w:p>
        </w:tc>
      </w:tr>
      <w:tr>
        <w:trPr>
          <w:cantSplit/>
          <w:trHeight w:val="397" w:hRule="atLeast"/>
        </w:trPr>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Incremental advisory revenue</w:t>
            </w:r>
          </w:p>
        </w:tc>
        <w:tc>
          <w:tcPr>
            <w:tcW w:type="dxa" w:w="147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$540,000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From Q3 FY27</w:t>
            </w:r>
          </w:p>
        </w:tc>
        <w:tc>
          <w:tcPr>
            <w:tcW w:type="dxa" w:w="181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Upside to plan</w:t>
            </w:r>
          </w:p>
        </w:tc>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months from Q3</w:t>
            </w:r>
          </w:p>
        </w:tc>
      </w:tr>
      <w:tr>
        <w:trPr>
          <w:cantSplit/>
          <w:trHeight w:val="397" w:hRule="atLeast"/>
        </w:trPr>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keepLines/>
              <w:pageBreakBefore w:val="0"/>
              <w:widowControl w:val="1"/>
              <w:spacing w:before="0" w:after="0" w:line="293" w:lineRule="auto"/>
            </w:pPr>
            <w:r>
              <w:rPr>
                <w:rFonts w:ascii="Calibri" w:hAnsi="Calibri" w:cs="Calibri" w:eastAsia="Calibri"/>
                <w:b/>
                <w:i w:val="0"/>
                <w:color w:val="10192A"/>
                <w:sz w:val="17"/>
                <w:u w:val="none"/>
              </w:rPr>
              <w:t>Net effect, 12 months</w:t>
            </w:r>
          </w:p>
        </w:tc>
        <w:tc>
          <w:tcPr>
            <w:tcW w:type="dxa" w:w="147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$260,000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FY27</w:t>
            </w:r>
          </w:p>
        </w:tc>
        <w:tc>
          <w:tcPr>
            <w:tcW w:type="dxa" w:w="1814"/>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Favourable</w:t>
            </w:r>
          </w:p>
        </w:tc>
        <w:tc>
          <w:tcPr>
            <w:tcW w:type="dxa" w:w="260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Before any pricing change</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Amounts are management estimates prepared on the same basis as the quarterly forecast. They are not audited and do not form part of the statutory accounts.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Options</w:t>
            </w:r>
          </w:p>
          <w:p>
            <w:pPr>
              <w:keepNext/>
              <w:keepLines/>
              <w:pageBreakBefore w:val="0"/>
              <w:widowControl w:val="1"/>
              <w:spacing w:before="0" w:after="0"/>
            </w:pPr>
            <w:r>
              <w:rPr>
                <w:rFonts w:ascii="Calibri" w:hAnsi="Calibri" w:cs="Calibri" w:eastAsia="Calibri"/>
                <w:b w:val="0"/>
                <w:i w:val="0"/>
                <w:caps w:val="1"/>
                <w:color w:val="1D6FE0"/>
                <w:spacing w:val="22"/>
                <w:sz w:val="14"/>
                <w:u w:val="none"/>
              </w:rPr>
              <w:t>Alternatives considered</w:t>
            </w:r>
          </w:p>
        </w:tc>
      </w:tr>
    </w:tbl>
    <w:p>
      <w:pPr>
        <w:keepNext w:val="1"/>
        <w:keepLines/>
        <w:pageBreakBefore w:val="0"/>
        <w:widowControl w:val="1"/>
        <w:spacing w:before="0" w:after="0" w:line="12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Options assessed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Options assessed"/>
        <w:tblDescription w:val="Compares: A — Hold, B — Re-weight, C — Expand"/>
      </w:tblPr>
      <w:tblGrid>
        <w:gridCol w:w="2624"/>
        <w:gridCol w:w="2489"/>
        <w:gridCol w:w="2489"/>
        <w:gridCol w:w="2489"/>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100" w:type="dxa"/>
              <w:left w:w="140" w:type="dxa"/>
              <w:bottom w:w="100" w:type="dxa"/>
              <w:right w:w="140"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D6FE0"/>
              <w:right w:val="single" w:sz="16" w:space="0" w:color="FFFFFF"/>
            </w:tcBorders>
            <w:shd w:val="clear" w:color="auto" w:fill="0C2340"/>
            <w:tcMar>
              <w:top w:w="100" w:type="dxa"/>
              <w:left w:w="140" w:type="dxa"/>
              <w:bottom w:w="100" w:type="dxa"/>
              <w:right w:w="140"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A — Hold</w:t>
            </w:r>
          </w:p>
        </w:tc>
        <w:tc>
          <w:tcPr>
            <w:tcW w:type="dxa" w:w="2489"/>
            <w:tcBorders>
              <w:top w:val="nil"/>
              <w:left w:val="nil"/>
              <w:bottom w:val="single" w:sz="8" w:space="0" w:color="1D6FE0"/>
              <w:right w:val="single" w:sz="16" w:space="0" w:color="FFFFFF"/>
            </w:tcBorders>
            <w:shd w:val="clear" w:color="auto" w:fill="1D6FE0"/>
            <w:tcMar>
              <w:top w:w="100" w:type="dxa"/>
              <w:left w:w="140" w:type="dxa"/>
              <w:bottom w:w="100" w:type="dxa"/>
              <w:right w:w="140"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 — Re-weight</w:t>
            </w:r>
          </w:p>
        </w:tc>
        <w:tc>
          <w:tcPr>
            <w:tcW w:type="dxa" w:w="2489"/>
            <w:tcBorders>
              <w:top w:val="nil"/>
              <w:left w:val="nil"/>
              <w:bottom w:val="single" w:sz="8" w:space="0" w:color="1D6FE0"/>
              <w:right w:val="nil"/>
            </w:tcBorders>
            <w:shd w:val="clear" w:color="auto" w:fill="0C2340"/>
            <w:tcMar>
              <w:top w:w="100" w:type="dxa"/>
              <w:left w:w="140" w:type="dxa"/>
              <w:bottom w:w="100" w:type="dxa"/>
              <w:right w:w="140"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C — Expand</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Description</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Change nothing this year</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Move capacity from transactional to advisory</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Hire into advisory and compliance</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Net new headcount</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Cost in period</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$84,000</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$690,000</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Revenue effect, 12 months</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−$310,000</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+$540,000</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+$980,000</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Time to effect</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 quarters</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quarters</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Reversibility</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n/a</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High — one quarter</w:t>
            </w:r>
          </w:p>
        </w:tc>
        <w:tc>
          <w:tcPr>
            <w:tcW w:type="dxa" w:w="2489"/>
            <w:tcBorders>
              <w:top w:val="nil"/>
              <w:left w:val="nil"/>
              <w:bottom w:val="single" w:sz="4" w:space="0" w:color="DCE3ED"/>
              <w:right w:val="nil"/>
            </w:tcBorders>
            <w:shd w:val="clear" w:color="auto" w:fill="F7F9FC"/>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Low — fixed cost added</w:t>
            </w:r>
          </w:p>
        </w:tc>
      </w:tr>
      <w:tr>
        <w:trPr>
          <w:cantSplit/>
        </w:trPr>
        <w:tc>
          <w:tcPr>
            <w:tcW w:type="dxa" w:w="2624"/>
            <w:tcBorders>
              <w:top w:val="nil"/>
              <w:left w:val="nil"/>
              <w:bottom w:val="single" w:sz="4" w:space="0" w:color="DCE3ED"/>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Principal risk</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Continues to decline work we can deliver</w:t>
            </w:r>
          </w:p>
        </w:tc>
        <w:tc>
          <w:tcPr>
            <w:tcW w:type="dxa" w:w="2489"/>
            <w:tcBorders>
              <w:top w:val="nil"/>
              <w:left w:val="nil"/>
              <w:bottom w:val="single" w:sz="4" w:space="0" w:color="DCE3ED"/>
              <w:right w:val="nil"/>
            </w:tcBorders>
            <w:shd w:val="clear" w:color="auto" w:fill="F2F7FE"/>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Retraining lag reduces Q1 capacity</w:t>
            </w:r>
          </w:p>
        </w:tc>
        <w:tc>
          <w:tcPr>
            <w:tcW w:type="dxa" w:w="2489"/>
            <w:tcBorders>
              <w:top w:val="nil"/>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Fixed cost committed ahead of demand</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mbria" w:hAnsi="Cambria" w:cs="Cambria" w:eastAsia="Cambria"/>
                <w:b/>
                <w:i w:val="0"/>
                <w:caps w:val="1"/>
                <w:color w:val="FFFFFF"/>
                <w:spacing w:val="38"/>
                <w:sz w:val="25"/>
                <w:u w:val="none"/>
              </w:rPr>
              <w:t>Risk &amp; compliance</w:t>
            </w:r>
          </w:p>
        </w:tc>
      </w:tr>
    </w:tbl>
    <w:p>
      <w:pPr>
        <w:keepNext w:val="1"/>
        <w:keepLines/>
        <w:pageBreakBefore w:val="0"/>
        <w:widowControl w:val="1"/>
        <w:spacing w:before="0" w:after="0" w:line="12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0"/>
          <w:sz w:val="15"/>
          <w:u w:val="none"/>
        </w:rPr>
        <w:t>Risk implications and management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 implications and management"/>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Retraining lag reduces delivery capacity in Q1</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Transfers staggered across two cohorts; no more than two staff out of production at once. Monthly capacity reporting to the executive.</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Transactional volumes recover and capacity sits in the wrong place</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Change is reversible within one quarter. Formal re-weight trigger set at a 15% recovery in transactional enquiry volume.</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Advisory revenue is concentrated in two clients</w:t>
            </w:r>
          </w:p>
        </w:tc>
        <w:tc>
          <w:tcPr>
            <w:tcW w:type="dxa" w:w="1413"/>
            <w:tcBorders>
              <w:top w:val="nil"/>
              <w:left w:val="nil"/>
              <w:bottom w:val="single" w:sz="4" w:space="0" w:color="DCE3ED"/>
              <w:right w:val="nil"/>
            </w:tcBorders>
            <w:shd w:val="clear" w:color="auto" w:fill="FBECEA"/>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two clients represent 31% of advisory revenue. A business development target of four new advisory clients by Q3 is added to the plan and reported monthly.</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Accreditation not obtained within the planned window</w:t>
            </w:r>
          </w:p>
        </w:tc>
        <w:tc>
          <w:tcPr>
            <w:tcW w:type="dxa" w:w="1413"/>
            <w:tcBorders>
              <w:top w:val="nil"/>
              <w:left w:val="nil"/>
              <w:bottom w:val="single" w:sz="4" w:space="0" w:color="DCE3ED"/>
              <w:right w:val="nil"/>
            </w:tcBorders>
            <w:shd w:val="clear" w:color="auto" w:fill="E6F6E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Accreditation dates are confirmed with the provider before the budget is committed. No transfer proceeds without a booked place.</w:t>
            </w:r>
          </w:p>
        </w:tc>
      </w:tr>
    </w:tbl>
    <w:p>
      <w:pPr>
        <w:keepNext w:val="0"/>
        <w:keepLines/>
        <w:pageBreakBefore w:val="0"/>
        <w:widowControl w:val="1"/>
        <w:spacing w:before="0" w:after="0" w:line="14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10192A"/>
          <w:sz w:val="19"/>
          <w:u w:val="none"/>
        </w:rPr>
        <w:t>There are no licensing implications. All four staff proposed for transfer hold the qualifications required for advisory work; the accreditation being funded is an internal standard rather than a regulatory requirement. Employment obligations in respect of role change have been reviewed and consultation requirements under the applicable agreement will be met before any transfer takes effect.</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Resolution</w:t>
            </w:r>
          </w:p>
          <w:p>
            <w:pPr>
              <w:keepNext/>
              <w:keepLines/>
              <w:pageBreakBefore w:val="0"/>
              <w:widowControl w:val="1"/>
              <w:spacing w:before="0" w:after="0"/>
            </w:pPr>
            <w:r>
              <w:rPr>
                <w:rFonts w:ascii="Calibri" w:hAnsi="Calibri" w:cs="Calibri" w:eastAsia="Calibri"/>
                <w:b w:val="0"/>
                <w:i w:val="0"/>
                <w:caps w:val="1"/>
                <w:color w:val="1D6FE0"/>
                <w:spacing w:val="22"/>
                <w:sz w:val="14"/>
                <w:u w:val="none"/>
              </w:rPr>
              <w:t>The wording proposed</w:t>
            </w:r>
          </w:p>
        </w:tc>
      </w:tr>
    </w:tbl>
    <w:p>
      <w:pPr>
        <w:keepNext w:val="1"/>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4C5B73"/>
              <w:bottom w:val="single" w:sz="4" w:space="0" w:color="DCE3ED"/>
              <w:right w:val="single" w:sz="4" w:space="0" w:color="DCE3ED"/>
            </w:tcBorders>
            <w:shd w:val="clear" w:color="auto" w:fill="EDF1F7"/>
            <w:tcMar>
              <w:top w:w="180" w:type="dxa"/>
              <w:left w:w="210" w:type="dxa"/>
              <w:bottom w:w="180" w:type="dxa"/>
              <w:right w:w="210" w:type="dxa"/>
            </w:tcMar>
          </w:tcPr>
          <w:p>
            <w:pPr>
              <w:keepNext/>
              <w:keepLines/>
              <w:pageBreakBefore w:val="0"/>
              <w:widowControl w:val="1"/>
              <w:spacing w:before="0" w:after="80"/>
            </w:pPr>
            <w:r>
              <w:rPr>
                <w:rFonts w:ascii="Calibri" w:hAnsi="Calibri" w:cs="Calibri" w:eastAsia="Calibri"/>
                <w:b/>
                <w:i w:val="0"/>
                <w:caps w:val="1"/>
                <w:color w:val="4C5B73"/>
                <w:spacing w:val="30"/>
                <w:sz w:val="15"/>
                <w:u w:val="none"/>
              </w:rPr>
              <w:t>Resolution sought</w:t>
            </w:r>
          </w:p>
          <w:p>
            <w:pPr>
              <w:keepNext w:val="0"/>
              <w:keepLines/>
              <w:pageBreakBefore w:val="0"/>
              <w:widowControl w:val="1"/>
              <w:spacing w:before="0" w:after="0" w:line="322" w:lineRule="auto"/>
            </w:pPr>
            <w:r>
              <w:rPr>
                <w:rFonts w:ascii="Calibri" w:hAnsi="Calibri" w:cs="Calibri" w:eastAsia="Calibri"/>
                <w:b w:val="0"/>
                <w:i w:val="0"/>
                <w:color w:val="10192A"/>
                <w:sz w:val="17"/>
                <w:u w:val="none"/>
              </w:rPr>
              <w:t>That the board resolves to approve the re-weighting of delivery capacity toward advisory and compliance services as set out in this paper, and approves expenditure of up to $84,000 on associated retraining and accreditation, to be funded from the approved operating budget.</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2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Moved by: ______________________     Seconded by: ______________________</w:t>
            </w:r>
          </w:p>
          <w:p>
            <w:pPr>
              <w:keepNext w:val="0"/>
              <w:keepLines/>
              <w:pageBreakBefore w:val="0"/>
              <w:widowControl w:val="1"/>
              <w:spacing w:before="80" w:after="0" w:line="32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Carried / Not carried / Carried as amended  (delete as applicable)</w:t>
            </w:r>
          </w:p>
          <w:p>
            <w:pPr>
              <w:keepNext w:val="0"/>
              <w:keepLines/>
              <w:pageBreakBefore w:val="0"/>
              <w:widowControl w:val="1"/>
              <w:spacing w:before="80" w:after="0" w:line="32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Minute reference: ______________________</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Prepared by — management</w:t>
            </w:r>
          </w:p>
        </w:tc>
        <w:tc>
          <w:tcPr>
            <w:tcW w:type="dxa" w:w="32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Nguyen</w:t>
            </w:r>
          </w:p>
        </w:tc>
        <w:tc>
          <w:tcPr>
            <w:tcW w:type="dxa" w:w="186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DF1F7"/>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4C5B73"/>
                <w:sz w:val="17"/>
                <w:u w:val="none"/>
              </w:rPr>
              <w:t>–  Approved</w:t>
            </w:r>
          </w:p>
        </w:tc>
      </w:tr>
      <w:tr>
        <w:trPr>
          <w:cantSplit/>
        </w:trPr>
        <w:tc>
          <w:tcPr>
            <w:tcW w:type="dxa" w:w="286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Reviewed by — Chief Executive</w:t>
            </w:r>
          </w:p>
        </w:tc>
        <w:tc>
          <w:tcPr>
            <w:tcW w:type="dxa" w:w="32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 Okafor</w:t>
            </w:r>
          </w:p>
        </w:tc>
        <w:tc>
          <w:tcPr>
            <w:tcW w:type="dxa" w:w="186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DF1F7"/>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4C5B73"/>
                <w:sz w:val="17"/>
                <w:u w:val="none"/>
              </w:rPr>
              <w:t>–  Approved</w:t>
            </w:r>
          </w:p>
        </w:tc>
      </w:tr>
      <w:tr>
        <w:trPr>
          <w:cantSplit/>
        </w:trPr>
        <w:tc>
          <w:tcPr>
            <w:tcW w:type="dxa" w:w="286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Tabled by — Company Secretary</w:t>
            </w:r>
          </w:p>
        </w:tc>
        <w:tc>
          <w:tcPr>
            <w:tcW w:type="dxa" w:w="32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w:t>
            </w:r>
          </w:p>
        </w:tc>
        <w:tc>
          <w:tcPr>
            <w:tcW w:type="dxa" w:w="186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286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Resolved by — the Board</w:t>
            </w:r>
          </w:p>
        </w:tc>
        <w:tc>
          <w:tcPr>
            <w:tcW w:type="dxa" w:w="32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Minute reference</w:t>
            </w:r>
          </w:p>
        </w:tc>
        <w:tc>
          <w:tcPr>
            <w:tcW w:type="dxa" w:w="186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keepLines/>
        <w:pageBreakBefore w:val="1"/>
        <w:widowControl w:val="1"/>
        <w:spacing w:before="0" w:after="80"/>
      </w:pPr>
      <w:r>
        <w:rPr>
          <w:rFonts w:ascii="Calibri" w:hAnsi="Calibri" w:cs="Calibri" w:eastAsia="Calibri"/>
          <w:b/>
          <w:i w:val="0"/>
          <w:caps w:val="1"/>
          <w:color w:val="1D6FE0"/>
          <w:spacing w:val="54"/>
          <w:sz w:val="15"/>
          <w:u w:val="none"/>
        </w:rPr>
        <w:t>APPENDIX A</w:t>
      </w:r>
    </w:p>
    <w:p>
      <w:pPr>
        <w:keepNext/>
        <w:keepLines/>
        <w:pageBreakBefore w:val="0"/>
        <w:widowControl w:val="1"/>
        <w:spacing w:before="0" w:after="120"/>
      </w:pPr>
      <w:r>
        <w:rPr>
          <w:rFonts w:ascii="Cambria" w:hAnsi="Cambria" w:cs="Cambria" w:eastAsia="Cambria"/>
          <w:b/>
          <w:i w:val="0"/>
          <w:color w:val="0C2340"/>
          <w:sz w:val="34"/>
          <w:u w:val="none"/>
        </w:rPr>
        <w:t>Attachments</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4C5B73"/>
          <w:sz w:val="19"/>
          <w:u w:val="none"/>
        </w:rPr>
        <w:t>Documents provided with this paper and available in the board portal. Attachments are not reproduced in the paper itself.</w:t>
      </w:r>
    </w:p>
    <w:p>
      <w:pPr>
        <w:keepNext w:val="0"/>
        <w:keepLines/>
        <w:pageBreakBefore w:val="0"/>
        <w:widowControl w:val="1"/>
        <w:spacing w:before="0" w:after="0" w:line="12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Attachment index</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ttachment index"/>
        <w:tblDescription w:val="Columns: Ref, Attachment, Pages, Source"/>
      </w:tblPr>
      <w:tblGrid>
        <w:gridCol w:w="1020"/>
        <w:gridCol w:w="5443"/>
        <w:gridCol w:w="1247"/>
        <w:gridCol w:w="2381"/>
      </w:tblGrid>
      <w:tr>
        <w:trPr>
          <w:cantSplit/>
          <w:trHeight w:val="420" w:hRule="atLeast"/>
          <w:tblHeader/>
        </w:trPr>
        <w:tc>
          <w:tcPr>
            <w:tcW w:type="dxa" w:w="102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5443"/>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Attachment</w:t>
            </w:r>
          </w:p>
        </w:tc>
        <w:tc>
          <w:tcPr>
            <w:tcW w:type="dxa" w:w="1247"/>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Pages</w:t>
            </w:r>
          </w:p>
        </w:tc>
        <w:tc>
          <w:tcPr>
            <w:tcW w:type="dxa" w:w="2381"/>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r>
      <w:tr>
        <w:trPr>
          <w:cantSplit/>
          <w:trHeight w:val="397" w:hRule="atLeast"/>
        </w:trPr>
        <w:tc>
          <w:tcPr>
            <w:tcW w:type="dxa" w:w="102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A1</w:t>
            </w:r>
          </w:p>
        </w:tc>
        <w:tc>
          <w:tcPr>
            <w:tcW w:type="dxa" w:w="5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Period financial pack, service line detail</w:t>
            </w:r>
          </w:p>
        </w:tc>
        <w:tc>
          <w:tcPr>
            <w:tcW w:type="dxa" w:w="124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w:t>
            </w:r>
          </w:p>
        </w:tc>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Finance</w:t>
            </w:r>
          </w:p>
        </w:tc>
      </w:tr>
      <w:tr>
        <w:trPr>
          <w:cantSplit/>
          <w:trHeight w:val="397" w:hRule="atLeast"/>
        </w:trPr>
        <w:tc>
          <w:tcPr>
            <w:tcW w:type="dxa" w:w="102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A2</w:t>
            </w:r>
          </w:p>
        </w:tc>
        <w:tc>
          <w:tcPr>
            <w:tcW w:type="dxa" w:w="5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Advisory utilisation report, 12 months</w:t>
            </w:r>
          </w:p>
        </w:tc>
        <w:tc>
          <w:tcPr>
            <w:tcW w:type="dxa" w:w="124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w:t>
            </w:r>
          </w:p>
        </w:tc>
        <w:tc>
          <w:tcPr>
            <w:tcW w:type="dxa" w:w="238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Operations</w:t>
            </w:r>
          </w:p>
        </w:tc>
      </w:tr>
      <w:tr>
        <w:trPr>
          <w:cantSplit/>
          <w:trHeight w:val="397" w:hRule="atLeast"/>
        </w:trPr>
        <w:tc>
          <w:tcPr>
            <w:tcW w:type="dxa" w:w="102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A3</w:t>
            </w:r>
          </w:p>
        </w:tc>
        <w:tc>
          <w:tcPr>
            <w:tcW w:type="dxa" w:w="5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Declined engagement log</w:t>
            </w:r>
          </w:p>
        </w:tc>
        <w:tc>
          <w:tcPr>
            <w:tcW w:type="dxa" w:w="124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w:t>
            </w:r>
          </w:p>
        </w:tc>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Operations</w:t>
            </w:r>
          </w:p>
        </w:tc>
      </w:tr>
      <w:tr>
        <w:trPr>
          <w:cantSplit/>
          <w:trHeight w:val="397" w:hRule="atLeast"/>
        </w:trPr>
        <w:tc>
          <w:tcPr>
            <w:tcW w:type="dxa" w:w="102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A4</w:t>
            </w:r>
          </w:p>
        </w:tc>
        <w:tc>
          <w:tcPr>
            <w:tcW w:type="dxa" w:w="5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Accreditation provider quotation</w:t>
            </w:r>
          </w:p>
        </w:tc>
        <w:tc>
          <w:tcPr>
            <w:tcW w:type="dxa" w:w="124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w:t>
            </w:r>
          </w:p>
        </w:tc>
        <w:tc>
          <w:tcPr>
            <w:tcW w:type="dxa" w:w="238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w:t>
            </w:r>
          </w:p>
        </w:tc>
      </w:tr>
      <w:tr>
        <w:trPr>
          <w:cantSplit/>
          <w:trHeight w:val="397" w:hRule="atLeast"/>
        </w:trPr>
        <w:tc>
          <w:tcPr>
            <w:tcW w:type="dxa" w:w="102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A5</w:t>
            </w:r>
          </w:p>
        </w:tc>
        <w:tc>
          <w:tcPr>
            <w:tcW w:type="dxa" w:w="5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Employment consultation plan</w:t>
            </w:r>
          </w:p>
        </w:tc>
        <w:tc>
          <w:tcPr>
            <w:tcW w:type="dxa" w:w="124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w:t>
            </w:r>
          </w:p>
        </w:tc>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People &amp; Culture</w:t>
            </w:r>
          </w:p>
        </w:tc>
      </w:tr>
    </w:tbl>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0"/>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0"/>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0"/>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0"/>
              <w:sz w:val="14"/>
              <w:u w:val="none"/>
            </w:rPr>
            <w:t>Board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Report</dc:title>
  <dc:subject>A paper prepared for a board meeting: purpose, background, discussion, recommendation and the resolution sought.</dc:subject>
  <dc:creator>Aurixa Systems</dc:creator>
  <cp:keywords>Board paper, Board report, Governance paper, Business &amp; Advisory,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