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7824" w:hRule="atLeast"/>
        </w:trPr>
        <w:tc>
          <w:tcPr>
            <w:tcW w:type="dxa" w:w="10091"/>
            <w:tcBorders>
              <w:top w:val="single" w:sz="10" w:space="0" w:color="1D6FE0"/>
              <w:left w:val="nil"/>
              <w:bottom w:val="nil"/>
              <w:right w:val="nil"/>
            </w:tcBorders>
            <w:shd w:val="clear" w:color="auto" w:fill="0C2340"/>
            <w:tcMar>
              <w:top w:w="380" w:type="dxa"/>
              <w:left w:w="320" w:type="dxa"/>
              <w:bottom w:w="380" w:type="dxa"/>
              <w:right w:w="320" w:type="dxa"/>
            </w:tcMar>
            <w:vAlign w:val="center"/>
          </w:tcPr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515"/>
            </w:tblGrid>
            <w:tr>
              <w:trPr>
                <w:cantSplit/>
              </w:trPr>
              <w:tc>
                <w:tcPr>
                  <w:tcW w:type="dxa" w:w="3515"/>
                  <w:tcBorders>
                    <w:top w:val="dashed" w:sz="8" w:space="0" w:color="1D6FE0"/>
                    <w:left w:val="dashed" w:sz="8" w:space="0" w:color="1D6FE0"/>
                    <w:bottom w:val="dashed" w:sz="8" w:space="0" w:color="1D6FE0"/>
                    <w:right w:val="dashed" w:sz="8" w:space="0" w:color="1D6FE0"/>
                  </w:tcBorders>
                  <w:tcMar>
                    <w:top w:w="190" w:type="dxa"/>
                    <w:left w:w="130" w:type="dxa"/>
                    <w:bottom w:w="19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32"/>
                      <w:sz w:val="14"/>
                      <w:u w:val="none"/>
                    </w:rPr>
                    <w:t>[  AURIXA SYSTEMS  ]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56"/>
                <w:sz w:val="16"/>
                <w:u w:val="none"/>
              </w:rPr>
              <w:t>Ten-year projection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8"/>
                <w:sz w:val="19"/>
                <w:u w:val="none"/>
              </w:rPr>
              <w:t>Aurixa Systems</w:t>
            </w:r>
          </w:p>
          <w:p>
            <w:pPr>
              <w:keepNext/>
              <w:keepLines/>
              <w:pageBreakBefore w:val="0"/>
              <w:widowControl w:val="1"/>
              <w:spacing w:before="0" w:after="160" w:line="23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pacing w:val="-4"/>
                <w:sz w:val="60"/>
                <w:u w:val="none"/>
              </w:rPr>
              <w:t>{{report.title}}</w:t>
            </w:r>
          </w:p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701"/>
            </w:tblGrid>
            <w:tr>
              <w:trPr>
                <w:cantSplit/>
              </w:trPr>
              <w:tc>
                <w:tcPr>
                  <w:tcW w:type="dxa" w:w="1701"/>
                  <w:shd w:val="clear" w:color="auto" w:fill="1D6FE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48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16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22"/>
                <w:u w:val="none"/>
              </w:rPr>
              <w:t>{{report.subtitle}}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8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872"/>
              <w:gridCol w:w="2872"/>
              <w:gridCol w:w="2872"/>
            </w:tblGrid>
            <w:tr>
              <w:trPr>
                <w:cantSplit/>
              </w:trPr>
              <w:tc>
                <w:tcPr>
                  <w:tcW w:type="dxa" w:w="2872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10 YEARS</w:t>
                  </w:r>
                </w:p>
              </w:tc>
              <w:tc>
                <w:tcPr>
                  <w:tcW w:type="dxa" w:w="2872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AFTER TAX</w:t>
                  </w:r>
                </w:p>
              </w:tc>
              <w:tc>
                <w:tcPr>
                  <w:tcW w:type="dxa" w:w="2872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STRESS-TESTED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3912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for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{{client.reference}}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by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Date of issue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{{document.issueDate}}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Document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{{document.reference}}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Version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{{document.version}}</w:t>
            </w:r>
          </w:p>
        </w:tc>
      </w:tr>
    </w:tbl>
    <w:p>
      <w:pPr>
        <w:keepNext/>
        <w:keepLines/>
        <w:pageBreakBefore w:val="1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01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Position summary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Headline outcome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4"/>
                <w:sz w:val="14"/>
                <w:u w:val="none"/>
              </w:rPr>
              <w:t>YEAR 1 NET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4"/>
                <w:sz w:val="14"/>
                <w:u w:val="none"/>
              </w:rPr>
              <w:t>10-YEAR CUMULATIVE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4"/>
                <w:sz w:val="14"/>
                <w:u w:val="none"/>
              </w:rPr>
              <w:t>BREAK-EVEN YEAR</w:t>
            </w:r>
          </w:p>
        </w:tc>
        <w:tc>
          <w:tcPr>
            <w:tcW w:type="dxa" w:w="2523"/>
            <w:tcBorders>
              <w:right w:val="nil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4"/>
                <w:sz w:val="14"/>
                <w:u w:val="none"/>
              </w:rPr>
              <w:t>WEEKLY COST, YEAR 1</w:t>
            </w:r>
          </w:p>
        </w:tc>
      </w:tr>
      <w:tr>
        <w:trPr>
          <w:cantSplit/>
        </w:trPr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{{summary.year1}}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After tax, per year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{{summary.cumulative}}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Nominal, after tax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{{summary.breakEven}}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Cash-flow positive</w:t>
            </w:r>
          </w:p>
        </w:tc>
        <w:tc>
          <w:tcPr>
            <w:tcW w:type="dxa" w:w="2523"/>
            <w:tcBorders>
              <w:bottom w:val="single" w:sz="8" w:space="0" w:color="1D6FE0"/>
              <w:right w:val="nil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{{summary.weekly}}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After tax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1D6FE0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158" w:type="dxa"/>
              <w:left w:w="184" w:type="dxa"/>
              <w:bottom w:w="158" w:type="dxa"/>
              <w:right w:w="184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4"/>
                <w:sz w:val="15"/>
                <w:u w:val="none"/>
              </w:rPr>
              <w:t>What this means</w:t>
            </w:r>
          </w:p>
          <w:p>
            <w:pPr>
              <w:keepNext/>
              <w:keepLines/>
              <w:pageBreakBefore w:val="0"/>
              <w:widowControl w:val="1"/>
              <w:spacing w:before="0" w:after="12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3"/>
                <w:u w:val="none"/>
              </w:rPr>
              <w:t>{{report.headline}}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07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{{report.summary}}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02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Assumptions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Every input, with its basis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3061" w:hRule="atLeast"/>
        </w:trPr>
        <w:tc>
          <w:tcPr>
            <w:tcW w:type="dxa" w:w="10091"/>
            <w:tcBorders>
              <w:top w:val="single" w:sz="4" w:space="0" w:color="C2CDDC"/>
              <w:left w:val="single" w:sz="4" w:space="0" w:color="C2CDDC"/>
              <w:bottom w:val="single" w:sz="4" w:space="0" w:color="C2CDDC"/>
              <w:right w:val="single" w:sz="4" w:space="0" w:color="C2CDDC"/>
            </w:tcBorders>
            <w:shd w:val="clear" w:color="auto" w:fill="F7F9FC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6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8"/>
                <w:u w:val="none"/>
              </w:rPr>
              <w:t>Cumulative after-tax net position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6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6"/>
                <w:sz w:val="15"/>
                <w:u w:val="none"/>
              </w:rPr>
              <w:t>[  LINE CHART  ]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8493A8"/>
                <w:sz w:val="14"/>
                <w:u w:val="none"/>
              </w:rPr>
              <w:t>{{cashflow.series}}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Ten years, nominal   ·   Source: Aurixa cash-flow model   ·   Alt text: Cumulative after-tax position crosses zero during year six and reaches $68,420 by year ten</w:t>
      </w:r>
    </w:p>
    <w:p>
      <w:pPr>
        <w:keepNext w:val="0"/>
        <w:keepLines/>
        <w:pageBreakBefore w:val="0"/>
        <w:widowControl w:val="1"/>
        <w:spacing w:before="0" w:after="0" w:line="96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1D6FE0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158" w:type="dxa"/>
              <w:left w:w="184" w:type="dxa"/>
              <w:bottom w:w="158" w:type="dxa"/>
              <w:right w:w="184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4"/>
                <w:sz w:val="15"/>
                <w:u w:val="none"/>
              </w:rPr>
              <w:t>Projection assumptions</w:t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929"/>
              <w:gridCol w:w="2893"/>
              <w:gridCol w:w="1929"/>
              <w:gridCol w:w="2893"/>
            </w:tblGrid>
            <w:tr>
              <w:trPr>
                <w:cantSplit/>
                <w:trHeight w:val="431" w:hRule="atLeast"/>
              </w:trPr>
              <w:tc>
                <w:tcPr>
                  <w:tcW w:type="dxa" w:w="1929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Purchase price</w:t>
                  </w:r>
                </w:p>
              </w:tc>
              <w:tc>
                <w:tcPr>
                  <w:tcW w:type="dxa" w:w="2893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{{assumptions.price}}</w:t>
                  </w:r>
                </w:p>
              </w:tc>
              <w:tc>
                <w:tcPr>
                  <w:tcW w:type="dxa" w:w="1929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Loan amount</w:t>
                  </w:r>
                </w:p>
              </w:tc>
              <w:tc>
                <w:tcPr>
                  <w:tcW w:type="dxa" w:w="2893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{{assumptions.loan}}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9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Interest rate</w:t>
                  </w:r>
                </w:p>
              </w:tc>
              <w:tc>
                <w:tcPr>
                  <w:tcW w:type="dxa" w:w="2893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{{assumptions.rate}}</w:t>
                  </w:r>
                </w:p>
              </w:tc>
              <w:tc>
                <w:tcPr>
                  <w:tcW w:type="dxa" w:w="1929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Capital growth</w:t>
                  </w:r>
                </w:p>
              </w:tc>
              <w:tc>
                <w:tcPr>
                  <w:tcW w:type="dxa" w:w="2893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{{assumptions.growth}}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9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Starting rent</w:t>
                  </w:r>
                </w:p>
              </w:tc>
              <w:tc>
                <w:tcPr>
                  <w:tcW w:type="dxa" w:w="2893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{{assumptions.rent}}</w:t>
                  </w:r>
                </w:p>
              </w:tc>
              <w:tc>
                <w:tcPr>
                  <w:tcW w:type="dxa" w:w="1929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Rental growth</w:t>
                  </w:r>
                </w:p>
              </w:tc>
              <w:tc>
                <w:tcPr>
                  <w:tcW w:type="dxa" w:w="2893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{{assumptions.rentGrowth}}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9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Vacancy allowance</w:t>
                  </w:r>
                </w:p>
              </w:tc>
              <w:tc>
                <w:tcPr>
                  <w:tcW w:type="dxa" w:w="2893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{{assumptions.vacancy}}</w:t>
                  </w:r>
                </w:p>
              </w:tc>
              <w:tc>
                <w:tcPr>
                  <w:tcW w:type="dxa" w:w="1929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Management fee</w:t>
                  </w:r>
                </w:p>
              </w:tc>
              <w:tc>
                <w:tcPr>
                  <w:tcW w:type="dxa" w:w="2893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{{assumptions.management}}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9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Expense inflation</w:t>
                  </w:r>
                </w:p>
              </w:tc>
              <w:tc>
                <w:tcPr>
                  <w:tcW w:type="dxa" w:w="2893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{{assumptions.inflation}}</w:t>
                  </w:r>
                </w:p>
              </w:tc>
              <w:tc>
                <w:tcPr>
                  <w:tcW w:type="dxa" w:w="1929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Marginal tax rate</w:t>
                  </w:r>
                </w:p>
              </w:tc>
              <w:tc>
                <w:tcPr>
                  <w:tcW w:type="dxa" w:w="2893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{{assumptions.taxRate}}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9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Depreciation</w:t>
                  </w:r>
                </w:p>
              </w:tc>
              <w:tc>
                <w:tcPr>
                  <w:tcW w:type="dxa" w:w="2893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{{assumptions.depreciation}}</w:t>
                  </w:r>
                </w:p>
              </w:tc>
              <w:tc>
                <w:tcPr>
                  <w:tcW w:type="dxa" w:w="1929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Ownership</w:t>
                  </w:r>
                </w:p>
              </w:tc>
              <w:tc>
                <w:tcPr>
                  <w:tcW w:type="dxa" w:w="2893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{{assumptions.ownership}}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120" w:after="0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4"/>
                <w:u w:val="none"/>
              </w:rPr>
              <w:t>Projections are not forecasts. Every figure that follows depends on these assumptions holding, and none of them will hold exactly.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3288" w:hRule="atLeast"/>
        </w:trPr>
        <w:tc>
          <w:tcPr>
            <w:tcW w:type="dxa" w:w="10091"/>
            <w:tcBorders>
              <w:top w:val="single" w:sz="4" w:space="0" w:color="C2CDDC"/>
              <w:left w:val="single" w:sz="4" w:space="0" w:color="C2CDDC"/>
              <w:bottom w:val="single" w:sz="4" w:space="0" w:color="C2CDDC"/>
              <w:right w:val="single" w:sz="4" w:space="0" w:color="C2CDDC"/>
            </w:tcBorders>
            <w:shd w:val="clear" w:color="auto" w:fill="F7F9FC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6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8"/>
                <w:u w:val="none"/>
              </w:rPr>
              <w:t>Cumulative after-tax net position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6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6"/>
                <w:sz w:val="15"/>
                <w:u w:val="none"/>
              </w:rPr>
              <w:t>[  LINE CHART  ]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8493A8"/>
                <w:sz w:val="14"/>
                <w:u w:val="none"/>
              </w:rPr>
              <w:t>{{cashflow.series}}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Ten years, nominal   ·   Source: Aurixa cash-flow model   ·   Alt text: Cumulative after-tax position crosses zero during year six and reaches $68,420 by year ten</w:t>
      </w:r>
    </w:p>
    <w:p>
      <w:pPr>
        <w:sectPr>
          <w:headerReference w:type="first" r:id="rId9"/>
          <w:headerReference w:type="default" r:id="rId10"/>
          <w:footerReference w:type="default" r:id="rId11"/>
          <w:footerReference w:type="first" r:id="rId12"/>
          <w:pgSz w:w="11906" w:h="16838"/>
          <w:pgMar w:top="1361" w:right="907" w:bottom="1134" w:left="907" w:header="567" w:footer="567" w:gutter="0"/>
          <w:cols w:space="720"/>
          <w:titlePg/>
          <w:docGrid w:linePitch="360"/>
        </w:sectPr>
      </w:pP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03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Year-by-year projection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The model output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4"/>
          <w:sz w:val="15"/>
          <w:u w:val="none"/>
        </w:rPr>
        <w:t>Ten-year after-tax cash flow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Ten-year after-tax cash flow"/>
        <w:tblDescription w:val="Columns: Year, Rent, Vacancy, Expenses, Interest, Pre-tax, Deprec., Taxable, Tax effect, After tax, Cumulative"/>
      </w:tblPr>
      <w:tblGrid>
        <w:gridCol w:w="904"/>
        <w:gridCol w:w="1468"/>
        <w:gridCol w:w="1356"/>
        <w:gridCol w:w="1468"/>
        <w:gridCol w:w="1468"/>
        <w:gridCol w:w="1356"/>
        <w:gridCol w:w="1356"/>
        <w:gridCol w:w="1356"/>
        <w:gridCol w:w="1412"/>
        <w:gridCol w:w="1412"/>
        <w:gridCol w:w="1468"/>
      </w:tblGrid>
      <w:tr>
        <w:trPr>
          <w:cantSplit/>
          <w:trHeight w:val="420" w:hRule="atLeast"/>
          <w:tblHeader/>
        </w:trPr>
        <w:tc>
          <w:tcPr>
            <w:tcW w:type="dxa" w:w="90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Year</w:t>
            </w:r>
          </w:p>
        </w:tc>
        <w:tc>
          <w:tcPr>
            <w:tcW w:type="dxa" w:w="146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Rent</w:t>
            </w:r>
          </w:p>
        </w:tc>
        <w:tc>
          <w:tcPr>
            <w:tcW w:type="dxa" w:w="1356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Vacancy</w:t>
            </w:r>
          </w:p>
        </w:tc>
        <w:tc>
          <w:tcPr>
            <w:tcW w:type="dxa" w:w="146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Expenses</w:t>
            </w:r>
          </w:p>
        </w:tc>
        <w:tc>
          <w:tcPr>
            <w:tcW w:type="dxa" w:w="146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Interest</w:t>
            </w:r>
          </w:p>
        </w:tc>
        <w:tc>
          <w:tcPr>
            <w:tcW w:type="dxa" w:w="1356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Pre-tax</w:t>
            </w:r>
          </w:p>
        </w:tc>
        <w:tc>
          <w:tcPr>
            <w:tcW w:type="dxa" w:w="1356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Deprec.</w:t>
            </w:r>
          </w:p>
        </w:tc>
        <w:tc>
          <w:tcPr>
            <w:tcW w:type="dxa" w:w="1356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Taxable</w:t>
            </w:r>
          </w:p>
        </w:tc>
        <w:tc>
          <w:tcPr>
            <w:tcW w:type="dxa" w:w="141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Tax effect</w:t>
            </w:r>
          </w:p>
        </w:tc>
        <w:tc>
          <w:tcPr>
            <w:tcW w:type="dxa" w:w="141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After tax</w:t>
            </w:r>
          </w:p>
        </w:tc>
        <w:tc>
          <w:tcPr>
            <w:tcW w:type="dxa" w:w="146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Cumulative</w:t>
            </w:r>
          </w:p>
        </w:tc>
      </w:tr>
      <w:tr>
        <w:trPr>
          <w:cantSplit/>
          <w:trHeight w:val="397" w:hRule="atLeast"/>
        </w:trPr>
        <w:tc>
          <w:tcPr>
            <w:tcW w:type="dxa" w:w="90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{{year}}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{{rent}}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{{vacancy}}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{{expenses}}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{{interest}}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{{preTax}}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{{depreciation}}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{{taxable}}</w:t>
            </w:r>
          </w:p>
        </w:tc>
        <w:tc>
          <w:tcPr>
            <w:tcW w:type="dxa" w:w="141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{{taxEffect}}</w:t>
            </w:r>
          </w:p>
        </w:tc>
        <w:tc>
          <w:tcPr>
            <w:tcW w:type="dxa" w:w="141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{{afterTax}}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{{cumulative}}</w:t>
            </w:r>
          </w:p>
        </w:tc>
      </w:tr>
      <w:tr>
        <w:trPr>
          <w:cantSplit/>
          <w:trHeight w:val="397" w:hRule="atLeast"/>
        </w:trPr>
        <w:tc>
          <w:tcPr>
            <w:tcW w:type="dxa" w:w="90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{{year}}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{{rent}}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{{vacancy}}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{{expenses}}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{{interest}}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{{preTax}}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{{depreciation}}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{{taxable}}</w:t>
            </w:r>
          </w:p>
        </w:tc>
        <w:tc>
          <w:tcPr>
            <w:tcW w:type="dxa" w:w="141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{{taxEffect}}</w:t>
            </w:r>
          </w:p>
        </w:tc>
        <w:tc>
          <w:tcPr>
            <w:tcW w:type="dxa" w:w="141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{{afterTax}}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{{cumulative}}</w:t>
            </w:r>
          </w:p>
        </w:tc>
      </w:tr>
      <w:tr>
        <w:trPr>
          <w:cantSplit/>
          <w:trHeight w:val="397" w:hRule="atLeast"/>
        </w:trPr>
        <w:tc>
          <w:tcPr>
            <w:tcW w:type="dxa" w:w="90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{{year}}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{{rent}}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{{vacancy}}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{{expenses}}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{{interest}}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{{preTax}}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{{depreciation}}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{{taxable}}</w:t>
            </w:r>
          </w:p>
        </w:tc>
        <w:tc>
          <w:tcPr>
            <w:tcW w:type="dxa" w:w="141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{{taxEffect}}</w:t>
            </w:r>
          </w:p>
        </w:tc>
        <w:tc>
          <w:tcPr>
            <w:tcW w:type="dxa" w:w="141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{{afterTax}}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{{cumulative}}</w:t>
            </w:r>
          </w:p>
        </w:tc>
      </w:tr>
      <w:tr>
        <w:trPr>
          <w:cantSplit/>
          <w:trHeight w:val="397" w:hRule="atLeast"/>
        </w:trPr>
        <w:tc>
          <w:tcPr>
            <w:tcW w:type="dxa" w:w="90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{{year}}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{{rent}}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{{vacancy}}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{{expenses}}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{{interest}}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{{preTax}}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{{depreciation}}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{{taxable}}</w:t>
            </w:r>
          </w:p>
        </w:tc>
        <w:tc>
          <w:tcPr>
            <w:tcW w:type="dxa" w:w="141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{{taxEffect}}</w:t>
            </w:r>
          </w:p>
        </w:tc>
        <w:tc>
          <w:tcPr>
            <w:tcW w:type="dxa" w:w="141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{{afterTax}}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{{cumulative}}</w:t>
            </w:r>
          </w:p>
        </w:tc>
      </w:tr>
      <w:tr>
        <w:trPr>
          <w:cantSplit/>
          <w:trHeight w:val="397" w:hRule="atLeast"/>
        </w:trPr>
        <w:tc>
          <w:tcPr>
            <w:tcW w:type="dxa" w:w="90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{{year}}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{{rent}}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{{vacancy}}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{{expenses}}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{{interest}}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{{preTax}}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{{depreciation}}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{{taxable}}</w:t>
            </w:r>
          </w:p>
        </w:tc>
        <w:tc>
          <w:tcPr>
            <w:tcW w:type="dxa" w:w="141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{{taxEffect}}</w:t>
            </w:r>
          </w:p>
        </w:tc>
        <w:tc>
          <w:tcPr>
            <w:tcW w:type="dxa" w:w="141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{{afterTax}}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{{cumulative}}</w:t>
            </w:r>
          </w:p>
        </w:tc>
      </w:tr>
      <w:tr>
        <w:trPr>
          <w:cantSplit/>
          <w:trHeight w:val="397" w:hRule="atLeast"/>
        </w:trPr>
        <w:tc>
          <w:tcPr>
            <w:tcW w:type="dxa" w:w="90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{{year}}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{{rent}}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{{vacancy}}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{{expenses}}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{{interest}}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{{preTax}}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{{depreciation}}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{{taxable}}</w:t>
            </w:r>
          </w:p>
        </w:tc>
        <w:tc>
          <w:tcPr>
            <w:tcW w:type="dxa" w:w="141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{{taxEffect}}</w:t>
            </w:r>
          </w:p>
        </w:tc>
        <w:tc>
          <w:tcPr>
            <w:tcW w:type="dxa" w:w="141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{{afterTax}}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{{cumulative}}</w:t>
            </w:r>
          </w:p>
        </w:tc>
      </w:tr>
      <w:tr>
        <w:trPr>
          <w:cantSplit/>
          <w:trHeight w:val="397" w:hRule="atLeast"/>
        </w:trPr>
        <w:tc>
          <w:tcPr>
            <w:tcW w:type="dxa" w:w="90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{{year}}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{{rent}}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{{vacancy}}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{{expenses}}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{{interest}}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{{preTax}}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{{depreciation}}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{{taxable}}</w:t>
            </w:r>
          </w:p>
        </w:tc>
        <w:tc>
          <w:tcPr>
            <w:tcW w:type="dxa" w:w="141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{{taxEffect}}</w:t>
            </w:r>
          </w:p>
        </w:tc>
        <w:tc>
          <w:tcPr>
            <w:tcW w:type="dxa" w:w="141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{{afterTax}}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{{cumulative}}</w:t>
            </w:r>
          </w:p>
        </w:tc>
      </w:tr>
      <w:tr>
        <w:trPr>
          <w:cantSplit/>
          <w:trHeight w:val="397" w:hRule="atLeast"/>
        </w:trPr>
        <w:tc>
          <w:tcPr>
            <w:tcW w:type="dxa" w:w="90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{{year}}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{{rent}}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{{vacancy}}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{{expenses}}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{{interest}}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{{preTax}}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{{depreciation}}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{{taxable}}</w:t>
            </w:r>
          </w:p>
        </w:tc>
        <w:tc>
          <w:tcPr>
            <w:tcW w:type="dxa" w:w="141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{{taxEffect}}</w:t>
            </w:r>
          </w:p>
        </w:tc>
        <w:tc>
          <w:tcPr>
            <w:tcW w:type="dxa" w:w="141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{{afterTax}}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{{cumulative}}</w:t>
            </w:r>
          </w:p>
        </w:tc>
      </w:tr>
      <w:tr>
        <w:trPr>
          <w:cantSplit/>
          <w:trHeight w:val="397" w:hRule="atLeast"/>
        </w:trPr>
        <w:tc>
          <w:tcPr>
            <w:tcW w:type="dxa" w:w="90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{{year}}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{{rent}}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{{vacancy}}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{{expenses}}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{{interest}}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{{preTax}}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{{depreciation}}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{{taxable}}</w:t>
            </w:r>
          </w:p>
        </w:tc>
        <w:tc>
          <w:tcPr>
            <w:tcW w:type="dxa" w:w="141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{{taxEffect}}</w:t>
            </w:r>
          </w:p>
        </w:tc>
        <w:tc>
          <w:tcPr>
            <w:tcW w:type="dxa" w:w="141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{{afterTax}}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{{cumulative}}</w:t>
            </w:r>
          </w:p>
        </w:tc>
      </w:tr>
      <w:tr>
        <w:trPr>
          <w:cantSplit/>
          <w:trHeight w:val="397" w:hRule="atLeast"/>
        </w:trPr>
        <w:tc>
          <w:tcPr>
            <w:tcW w:type="dxa" w:w="90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{{year}}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{{rent}}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{{vacancy}}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{{expenses}}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{{interest}}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{{preTax}}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{{depreciation}}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{{taxable}}</w:t>
            </w:r>
          </w:p>
        </w:tc>
        <w:tc>
          <w:tcPr>
            <w:tcW w:type="dxa" w:w="141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{{taxEffect}}</w:t>
            </w:r>
          </w:p>
        </w:tc>
        <w:tc>
          <w:tcPr>
            <w:tcW w:type="dxa" w:w="141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{{afterTax}}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{{cumulative}}</w:t>
            </w:r>
          </w:p>
        </w:tc>
      </w:tr>
      <w:tr>
        <w:trPr>
          <w:cantSplit/>
          <w:trHeight w:val="397" w:hRule="atLeast"/>
        </w:trPr>
        <w:tc>
          <w:tcPr>
            <w:tcW w:type="dxa" w:w="90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Total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$456,029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-$17,540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-$103,242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-$420,105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-$84,858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-$72,200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-$157,058</w:t>
            </w:r>
          </w:p>
        </w:tc>
        <w:tc>
          <w:tcPr>
            <w:tcW w:type="dxa" w:w="1412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$61,253</w:t>
            </w:r>
          </w:p>
        </w:tc>
        <w:tc>
          <w:tcPr>
            <w:tcW w:type="dxa" w:w="1412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-$23,605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Negative figures are outflows. 'Tax effect' is the reduction in tax payable from the taxable loss at the stated marginal rate; it is a benefit only to the extent there is other income to offset.</w:t>
      </w:r>
    </w:p>
    <w:p>
      <w:pPr>
        <w:sectPr>
          <w:headerReference w:type="default" r:id="rId13"/>
          <w:footerReference w:type="default" r:id="rId14"/>
          <w:pgSz w:w="16838" w:h="11906" w:orient="landscape"/>
          <w:pgMar w:top="1134" w:right="907" w:bottom="964" w:left="907" w:header="567" w:footer="567" w:gutter="0"/>
          <w:cols w:space="720"/>
          <w:docGrid w:linePitch="360"/>
        </w:sectPr>
      </w:pP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04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Expense breakdown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Where year one goes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4"/>
          <w:sz w:val="15"/>
          <w:u w:val="none"/>
        </w:rPr>
        <w:t>Year-one expenses by category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826"/>
        <w:gridCol w:w="5651"/>
        <w:gridCol w:w="1615"/>
      </w:tblGrid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{{expense.name}}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651"/>
              <w:gridCol w:w="34"/>
            </w:tblGrid>
            <w:tr>
              <w:trPr>
                <w:cantSplit/>
              </w:trPr>
              <w:tc>
                <w:tcPr>
                  <w:tcW w:type="dxa" w:w="5651"/>
                  <w:shd w:val="clear" w:color="auto" w:fill="0C234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34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>
            <w:pPr>
              <w:keepNext/>
            </w:pPr>
          </w:p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{{expense.amount}}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{{expense.name}}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651"/>
              <w:gridCol w:w="34"/>
            </w:tblGrid>
            <w:tr>
              <w:trPr>
                <w:cantSplit/>
              </w:trPr>
              <w:tc>
                <w:tcPr>
                  <w:tcW w:type="dxa" w:w="5651"/>
                  <w:shd w:val="clear" w:color="auto" w:fill="1D6FE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34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>
            <w:pPr>
              <w:keepNext/>
            </w:pPr>
          </w:p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{{expense.amount}}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{{expense.name}}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651"/>
              <w:gridCol w:w="34"/>
            </w:tblGrid>
            <w:tr>
              <w:trPr>
                <w:cantSplit/>
              </w:trPr>
              <w:tc>
                <w:tcPr>
                  <w:tcW w:type="dxa" w:w="5651"/>
                  <w:shd w:val="clear" w:color="auto" w:fill="12B0C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34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>
            <w:pPr>
              <w:keepNext/>
            </w:pPr>
          </w:p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{{expense.amount}}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{{expense.name}}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651"/>
              <w:gridCol w:w="34"/>
            </w:tblGrid>
            <w:tr>
              <w:trPr>
                <w:cantSplit/>
              </w:trPr>
              <w:tc>
                <w:tcPr>
                  <w:tcW w:type="dxa" w:w="5651"/>
                  <w:shd w:val="clear" w:color="auto" w:fill="5B96E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34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>
            <w:pPr>
              <w:keepNext/>
            </w:pPr>
          </w:p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{{expense.amount}}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{{expense.name}}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651"/>
              <w:gridCol w:w="34"/>
            </w:tblGrid>
            <w:tr>
              <w:trPr>
                <w:cantSplit/>
              </w:trPr>
              <w:tc>
                <w:tcPr>
                  <w:tcW w:type="dxa" w:w="5651"/>
                  <w:shd w:val="clear" w:color="auto" w:fill="0E8AA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34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>
            <w:pPr>
              <w:keepNext/>
            </w:pPr>
          </w:p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{{expense.amount}}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Interest is 82% of year-one outgoings, which is why the projection is more sensitive to rates than to anything else.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05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Sensitivity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What changes the answer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4"/>
          <w:sz w:val="15"/>
          <w:u w:val="none"/>
        </w:rPr>
        <w:t>After-tax position under stress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After-tax position under stress"/>
        <w:tblDescription w:val="Compares: Base, Rate +1%, Rate +2%, Vacancy 6 wks, Rent -10%"/>
      </w:tblPr>
      <w:tblGrid>
        <w:gridCol w:w="2624"/>
        <w:gridCol w:w="1494"/>
        <w:gridCol w:w="1494"/>
        <w:gridCol w:w="1494"/>
        <w:gridCol w:w="1494"/>
        <w:gridCol w:w="1494"/>
      </w:tblGrid>
      <w:tr>
        <w:trPr>
          <w:cantSplit/>
          <w:trHeight w:val="510" w:hRule="atLeast"/>
          <w:tblHeader/>
        </w:trPr>
        <w:tc>
          <w:tcPr>
            <w:tcW w:type="dxa" w:w="2624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</w:p>
        </w:tc>
        <w:tc>
          <w:tcPr>
            <w:tcW w:type="dxa" w:w="1494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1D6FE0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Base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Rate +1%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Rate +2%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Vacancy 6 wks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Rent -10%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Year-1 after tax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-$4,858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-$9,077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-$13,296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-$7,655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-$7,285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Year-1 weekly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-$93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-$175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-$256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-$147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-$140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Break-even year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Year 6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Year 8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Year 9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Year 7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Year 8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10-year cumulative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-$23,605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-$58,420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-$93,235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-$41,180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-$52,940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4C5B73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158" w:type="dxa"/>
              <w:left w:w="184" w:type="dxa"/>
              <w:bottom w:w="158" w:type="dxa"/>
              <w:right w:w="184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4"/>
                <w:sz w:val="15"/>
                <w:u w:val="none"/>
              </w:rPr>
              <w:t>Read this alongside the projection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07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{{report.caveat}}</w:t>
            </w:r>
          </w:p>
        </w:tc>
      </w:tr>
    </w:tbl>
    <w:p>
      <w:pPr>
        <w:keepNext/>
        <w:keepLines/>
        <w:pageBreakBefore w:val="1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Important information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Disclaimer, privacy and terms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Disclaimer</w:t>
      </w:r>
    </w:p>
    <w:p>
      <w:pPr>
        <w:keepNext w:val="0"/>
        <w:keepLines/>
        <w:pageBreakBefore w:val="0"/>
        <w:widowControl w:val="1"/>
        <w:spacing w:before="0" w:after="0" w:line="307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{{legal.disclaimer}}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Privacy</w:t>
      </w:r>
    </w:p>
    <w:p>
      <w:pPr>
        <w:keepNext w:val="0"/>
        <w:keepLines/>
        <w:pageBreakBefore w:val="0"/>
        <w:widowControl w:val="1"/>
        <w:spacing w:before="0" w:after="0" w:line="307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{{legal.privacyNotice}}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Terms of use</w:t>
      </w:r>
    </w:p>
    <w:p>
      <w:pPr>
        <w:keepNext w:val="0"/>
        <w:keepLines/>
        <w:pageBreakBefore w:val="0"/>
        <w:widowControl w:val="1"/>
        <w:spacing w:before="0" w:after="0" w:line="307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{{legal.terms}}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sectPr w:rsidR="00FC693F" w:rsidRPr="0006063C" w:rsidSect="00034616">
      <w:headerReference w:type="default" r:id="rId15"/>
      <w:footerReference w:type="default" r:id="rId16"/>
      <w:pgSz w:w="11906" w:h="16838"/>
      <w:pgMar w:top="1361" w:right="907" w:bottom="1134" w:left="90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24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24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8413"/>
      <w:gridCol w:w="6610"/>
    </w:tblGrid>
    <w:tr>
      <w:trPr>
        <w:cantSplit/>
      </w:trPr>
      <w:tc>
        <w:tcPr>
          <w:tcW w:type="dxa" w:w="8413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24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661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24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4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4"/>
              <w:sz w:val="14"/>
              <w:u w:val="none"/>
            </w:rPr>
            <w:t>Cash-Flow &amp; Net Position Report</w:t>
          </w:r>
        </w:p>
      </w:tc>
    </w:tr>
  </w:tbl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7512"/>
      <w:gridCol w:w="7512"/>
    </w:tblGrid>
    <w:tr>
      <w:trPr>
        <w:cantSplit/>
      </w:trPr>
      <w:tc>
        <w:tcPr>
          <w:tcW w:type="dxa" w:w="7512"/>
          <w:tcBorders>
            <w:top w:val="nil"/>
            <w:left w:val="nil"/>
            <w:bottom w:val="single" w:sz="6" w:space="0" w:color="1D6FE0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4"/>
              <w:sz w:val="14"/>
              <w:u w:val="none"/>
            </w:rPr>
            <w:t>Aurixa Systems</w:t>
          </w:r>
        </w:p>
      </w:tc>
      <w:tc>
        <w:tcPr>
          <w:tcW w:type="dxa" w:w="7512"/>
          <w:tcBorders>
            <w:top w:val="nil"/>
            <w:left w:val="nil"/>
            <w:bottom w:val="single" w:sz="6" w:space="0" w:color="1D6FE0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4"/>
              <w:sz w:val="14"/>
              <w:u w:val="none"/>
            </w:rPr>
            <w:t>Cash-Flow &amp; Net Position Report</w:t>
          </w:r>
        </w:p>
      </w:tc>
    </w:tr>
  </w:tbl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4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4"/>
              <w:sz w:val="14"/>
              <w:u w:val="none"/>
            </w:rPr>
            <w:t>Cash-Flow &amp; Net Position Report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07" w:lineRule="auto"/>
    </w:pPr>
    <w:rPr>
      <w:rFonts w:ascii="Calibri" w:hAnsi="Calibri" w:cs="Calibri" w:eastAsia="Calibri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Cash-Flow &amp; Net Position Report</dc:title>
  <dc:subject>Projected cash flow and net position over one to ten years, with the assumptions, the year-by-year detail and the sensitivity.</dc:subject>
  <dc:creator>Aurixa Systems</dc:creator>
  <cp:keywords>Cash flow, Net position, Holding cost, Finance &amp; Lending,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