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Authority to act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{{form.title}}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{{form.subtitle}}</w:t>
      </w:r>
    </w:p>
    <w:p>
      <w:pPr>
        <w:keepNext w:val="0"/>
        <w:keepLines/>
        <w:pageBreakBefore w:val="0"/>
        <w:widowControl w:val="1"/>
        <w:spacing w:before="0" w:after="0" w:line="963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Authority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{{authority.reference}}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Parties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Who is authorising whom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name(s)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address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date of birth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Organisation authorised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{{org.name}}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Named individual (if limited)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Third party this authority is directed to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Third party account or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Scope of authority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Each act, separately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I authorise the organisation to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{{authority.acts[2]}}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{{authority.acts[3]}}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{{authority.acts[4]}}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Arial" w:hAnsi="Arial" w:cs="Arial" w:eastAsia="Arial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{{authority.acts[5]}}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Limitations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this does not permit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Limitations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{{authority.limitations}}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Duration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When it starts and ends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Start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End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Or ends 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How to revoke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{{authority.revoke}}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Signatures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Client authorisation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Client 1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Client 2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Witness (if required)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Received by the organisation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Arial" w:hAnsi="Arial" w:cs="Arial" w:eastAsia="Arial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Privacy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How we handle your information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Client Authority Form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Authority Form</dc:title>
  <dc:subject>Written authority for the organisation to act, request information, or deal with a named third party on the client's behalf.</dc:subject>
  <dc:creator>Aurixa Systems</dc:creator>
  <cp:keywords>Authority, Consent to act, Third-party authority,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