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Engagement</w:t>
      </w:r>
    </w:p>
    <w:p>
      <w:pPr>
        <w:keepNext/>
        <w:keepLines/>
        <w:pageBreakBefore w:val="0"/>
        <w:widowControl w:val="1"/>
        <w:spacing w:before="0" w:after="120" w:line="254" w:lineRule="auto"/>
      </w:pPr>
      <w:r>
        <w:rPr>
          <w:rFonts w:ascii="Arial" w:hAnsi="Arial" w:cs="Arial" w:eastAsia="Arial"/>
          <w:b/>
          <w:i w:val="0"/>
          <w:color w:val="0C2340"/>
          <w:sz w:val="48"/>
          <w:u w:val="none"/>
        </w:rPr>
        <w:t>Client Onboarding</w:t>
      </w:r>
    </w:p>
    <w:p>
      <w:pPr>
        <w:keepNext w:val="0"/>
        <w:keepLines/>
        <w:pageBreakBefore w:val="0"/>
        <w:widowControl w:val="1"/>
        <w:spacing w:before="0" w:after="0" w:line="326" w:lineRule="auto"/>
      </w:pPr>
      <w:r>
        <w:rPr>
          <w:rFonts w:ascii="Arial" w:hAnsi="Arial" w:cs="Arial" w:eastAsia="Arial"/>
          <w:b w:val="0"/>
          <w:i w:val="0"/>
          <w:color w:val="4C5B73"/>
          <w:sz w:val="22"/>
          <w:u w:val="none"/>
        </w:rPr>
        <w:t>The scope of our engagement, what it costs, what you authorise us to do, and the consents we need.</w:t>
      </w:r>
    </w:p>
    <w:p>
      <w:pPr>
        <w:keepNext w:val="0"/>
        <w:keepLines/>
        <w:pageBreakBefore w:val="0"/>
        <w:widowControl w:val="1"/>
        <w:spacing w:before="0" w:after="0" w:line="9638"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Arial" w:hAnsi="Arial" w:cs="Arial" w:eastAsia="Arial"/>
          <w:b/>
          <w:i w:val="0"/>
          <w:caps w:val="1"/>
          <w:color w:val="0C2340"/>
          <w:spacing w:val="22"/>
          <w:sz w:val="14"/>
          <w:u w:val="none"/>
        </w:rPr>
        <w:t>APR-0418-01</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Version 1.0</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31 July 2026</w:t>
      </w:r>
    </w:p>
    <w:p>
      <w:pPr>
        <w:keepNext w:val="0"/>
        <w:keepLines/>
        <w:pageBreakBefore w:val="1"/>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Engagement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{{engagement.reference}}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{{engagement.startDate}}</w:t>
            </w:r>
          </w:p>
        </w:tc>
      </w:tr>
    </w:tbl>
    <w:p>
      <w:pPr>
        <w:keepNext w:val="0"/>
        <w:keepLines/>
        <w:pageBreakBefore w:val="0"/>
        <w:widowControl w:val="1"/>
        <w:spacing w:before="0" w:after="0" w:line="112" w:lineRule="exact"/>
      </w:pPr>
      <w:r>
        <w:rPr>
          <w:sz w:val="2"/>
        </w:rPr>
      </w:r>
    </w:p>
    <w:p>
      <w:pPr>
        <w:keepNext w:val="0"/>
        <w:keepLines/>
        <w:pageBreakBefore w:val="0"/>
        <w:widowControl w:val="1"/>
        <w:spacing w:before="0" w:after="0" w:line="312" w:lineRule="auto"/>
      </w:pPr>
      <w:r>
        <w:rPr>
          <w:rFonts w:ascii="Arial" w:hAnsi="Arial" w:cs="Arial" w:eastAsia="Arial"/>
          <w:b w:val="0"/>
          <w:i w:val="0"/>
          <w:color w:val="10192A"/>
          <w:sz w:val="19"/>
          <w:u w:val="none"/>
        </w:rPr>
        <w:t>Thank you for engaging us. This form records what we have agreed: the work we will do, the work we will not do, what it costs, and what you are authorising. Please read it, complete the fields, and sign at the end. Ask us about anything that is unclear before you sign — that is a better use of your time than discovering it later.</w:t>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Your details</w:t>
      </w:r>
    </w:p>
    <w:p>
      <w:pPr>
        <w:keepNext/>
        <w:keepLines/>
        <w:pageBreakBefore w:val="0"/>
        <w:widowControl w:val="1"/>
        <w:spacing w:before="100" w:after="0"/>
      </w:pPr>
      <w:r>
        <w:rPr>
          <w:rFonts w:ascii="Arial" w:hAnsi="Arial" w:cs="Arial" w:eastAsia="Arial"/>
          <w:b w:val="0"/>
          <w:i w:val="0"/>
          <w:color w:val="4C5B73"/>
          <w:sz w:val="15"/>
          <w:u w:val="none"/>
        </w:rPr>
        <w:t>Who we are acting for</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name(s)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Preferred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Entity name (if applicable)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ABN / ACN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Postal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Best contact time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Engagement scope</w:t>
      </w:r>
    </w:p>
    <w:p>
      <w:pPr>
        <w:keepNext/>
        <w:keepLines/>
        <w:pageBreakBefore w:val="0"/>
        <w:widowControl w:val="1"/>
        <w:spacing w:before="100" w:after="0"/>
      </w:pPr>
      <w:r>
        <w:rPr>
          <w:rFonts w:ascii="Arial" w:hAnsi="Arial" w:cs="Arial" w:eastAsia="Arial"/>
          <w:b w:val="0"/>
          <w:i w:val="0"/>
          <w:color w:val="4C5B73"/>
          <w:sz w:val="15"/>
          <w:u w:val="none"/>
        </w:rPr>
        <w:t>What is and is not included</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2" w:type="dxa"/>
              <w:left w:w="128" w:type="dxa"/>
              <w:bottom w:w="92" w:type="dxa"/>
              <w:right w:w="128" w:type="dxa"/>
            </w:tcMar>
          </w:tcPr>
          <w:p>
            <w:pPr>
              <w:keepNext/>
              <w:keepLines/>
              <w:pageBreakBefore w:val="0"/>
              <w:widowControl w:val="1"/>
              <w:spacing w:before="0" w:after="0" w:line="276" w:lineRule="auto"/>
            </w:pPr>
            <w:r>
              <w:rPr>
                <w:rFonts w:ascii="Arial" w:hAnsi="Arial" w:cs="Arial" w:eastAsia="Arial"/>
                <w:b/>
                <w:i w:val="0"/>
                <w:caps w:val="1"/>
                <w:color w:val="FFFFFF"/>
                <w:spacing w:val="22"/>
                <w:sz w:val="16"/>
                <w:u w:val="none"/>
              </w:rPr>
              <w:t>Included in this engagement</w:t>
            </w:r>
          </w:p>
        </w:tc>
        <w:tc>
          <w:tcPr>
            <w:tcW w:type="dxa" w:w="5046"/>
            <w:tcBorders>
              <w:top w:val="nil"/>
              <w:left w:val="nil"/>
              <w:bottom w:val="nil"/>
              <w:right w:val="nil"/>
            </w:tcBorders>
            <w:shd w:val="clear" w:color="auto" w:fill="B3261E"/>
            <w:tcMar>
              <w:top w:w="92" w:type="dxa"/>
              <w:left w:w="128" w:type="dxa"/>
              <w:bottom w:w="92" w:type="dxa"/>
              <w:right w:w="128" w:type="dxa"/>
            </w:tcMar>
          </w:tcPr>
          <w:p>
            <w:pPr>
              <w:keepNext/>
              <w:keepLines/>
              <w:pageBreakBefore w:val="0"/>
              <w:widowControl w:val="1"/>
              <w:spacing w:before="0" w:after="0" w:line="276" w:lineRule="auto"/>
            </w:pPr>
            <w:r>
              <w:rPr>
                <w:rFonts w:ascii="Arial" w:hAnsi="Arial" w:cs="Arial" w:eastAsia="Arial"/>
                <w:b/>
                <w:i w:val="0"/>
                <w:caps w:val="1"/>
                <w:color w:val="FFFFFF"/>
                <w:spacing w:val="22"/>
                <w:sz w:val="16"/>
                <w:u w:val="none"/>
              </w:rPr>
              <w:t>Not included</w:t>
            </w:r>
          </w:p>
        </w:tc>
      </w:tr>
      <w:tr>
        <w:trPr>
          <w:cantSplit/>
        </w:trPr>
        <w:tc>
          <w:tcPr>
            <w:tcW w:type="dxa" w:w="5046"/>
            <w:tcBorders>
              <w:top w:val="nil"/>
              <w:left w:val="nil"/>
              <w:bottom w:val="single" w:sz="4" w:space="0" w:color="DCE3ED"/>
              <w:right w:val="single" w:sz="30" w:space="0" w:color="FFFFFF"/>
            </w:tcBorders>
            <w:shd w:val="clear" w:color="auto" w:fill="E6F6EF"/>
            <w:tcMar>
              <w:top w:w="132" w:type="dxa"/>
              <w:left w:w="128" w:type="dxa"/>
              <w:bottom w:w="132" w:type="dxa"/>
              <w:right w:w="128" w:type="dxa"/>
            </w:tcMar>
          </w:tcPr>
          <w:p>
            <w:pPr>
              <w:keepNext w:val="0"/>
              <w:keepLines/>
              <w:pageBreakBefore w:val="0"/>
              <w:widowControl w:val="1"/>
              <w:spacing w:before="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Property strategy and brief development.</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Search, shortlisting and inspection across the agreed area.</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Comparable sales research and price assessment.</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Due diligence coordination and reporting.</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Negotiation and offer management to exchange.</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Settlement coordination with your conveyancer.</w:t>
            </w:r>
          </w:p>
        </w:tc>
        <w:tc>
          <w:tcPr>
            <w:tcW w:type="dxa" w:w="5046"/>
            <w:tcBorders>
              <w:top w:val="nil"/>
              <w:left w:val="nil"/>
              <w:bottom w:val="single" w:sz="4" w:space="0" w:color="DCE3ED"/>
              <w:right w:val="nil"/>
            </w:tcBorders>
            <w:shd w:val="clear" w:color="auto" w:fill="FBECEA"/>
            <w:tcMar>
              <w:top w:w="132" w:type="dxa"/>
              <w:left w:w="128" w:type="dxa"/>
              <w:bottom w:w="132" w:type="dxa"/>
              <w:right w:w="128" w:type="dxa"/>
            </w:tcMar>
          </w:tcPr>
          <w:p>
            <w:pPr>
              <w:keepNext w:val="0"/>
              <w:keepLines/>
              <w:pageBreakBefore w:val="0"/>
              <w:widowControl w:val="1"/>
              <w:spacing w:before="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Credit assistance, loan advice or lender recommendations.</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Legal advice on the contract of sale.</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Structural engineering, survey or valuation services.</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Tax or financial product advice.</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Property management after settlement.</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Where you will need another professional</w:t>
            </w:r>
          </w:p>
          <w:p>
            <w:pPr>
              <w:keepNext w:val="0"/>
              <w:keepLines/>
              <w:pageBreakBefore w:val="0"/>
              <w:widowControl w:val="1"/>
              <w:spacing w:before="0" w:after="0" w:line="312" w:lineRule="auto"/>
            </w:pPr>
            <w:r>
              <w:rPr>
                <w:rFonts w:ascii="Arial" w:hAnsi="Arial" w:cs="Arial" w:eastAsia="Arial"/>
                <w:b w:val="0"/>
                <w:i w:val="0"/>
                <w:color w:val="10192A"/>
                <w:sz w:val="17"/>
                <w:u w:val="none"/>
              </w:rPr>
              <w:t>We will tell you when something falls outside our scope and, where you ask us to, introduce you to a suitably qualified professional. Any referral benefit we receive will be disclosed to you before the introduction is made.</w:t>
            </w: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Fees</w:t>
      </w:r>
    </w:p>
    <w:p>
      <w:pPr>
        <w:keepNext/>
        <w:keepLines/>
        <w:pageBreakBefore w:val="0"/>
        <w:widowControl w:val="1"/>
        <w:spacing w:before="100" w:after="0"/>
      </w:pPr>
      <w:r>
        <w:rPr>
          <w:rFonts w:ascii="Arial" w:hAnsi="Arial" w:cs="Arial" w:eastAsia="Arial"/>
          <w:b w:val="0"/>
          <w:i w:val="0"/>
          <w:color w:val="4C5B73"/>
          <w:sz w:val="15"/>
          <w:u w:val="none"/>
        </w:rPr>
        <w:t>What this costs and when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Fee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ee schedule"/>
        <w:tblDescription w:val="Columns: Fee, Basis, Amount, When payable"/>
      </w:tblPr>
      <w:tblGrid>
        <w:gridCol w:w="2608"/>
        <w:gridCol w:w="2948"/>
        <w:gridCol w:w="1928"/>
        <w:gridCol w:w="2608"/>
      </w:tblGrid>
      <w:tr>
        <w:trPr>
          <w:cantSplit/>
          <w:trHeight w:val="420" w:hRule="atLeast"/>
          <w:tblHeader/>
        </w:trPr>
        <w:tc>
          <w:tcPr>
            <w:tcW w:type="dxa" w:w="260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Fee</w:t>
            </w:r>
          </w:p>
        </w:tc>
        <w:tc>
          <w:tcPr>
            <w:tcW w:type="dxa" w:w="294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Basis</w:t>
            </w:r>
          </w:p>
        </w:tc>
        <w:tc>
          <w:tcPr>
            <w:tcW w:type="dxa" w:w="192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Amount</w:t>
            </w:r>
          </w:p>
        </w:tc>
        <w:tc>
          <w:tcPr>
            <w:tcW w:type="dxa" w:w="260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When payable</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Engagement 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Fixed</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On signing this form</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Success 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Percentage of purchase price</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On exchange</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keepLines/>
              <w:pageBreakBefore w:val="0"/>
              <w:widowControl w:val="1"/>
              <w:spacing w:before="0" w:after="0" w:line="293" w:lineRule="auto"/>
            </w:pPr>
            <w:r>
              <w:rPr>
                <w:rFonts w:ascii="Arial" w:hAnsi="Arial" w:cs="Arial" w:eastAsia="Arial"/>
                <w:b w:val="0"/>
                <w:i w:val="0"/>
                <w:color w:val="10192A"/>
                <w:sz w:val="17"/>
                <w:u w:val="none"/>
              </w:rPr>
              <w:t>Disbursements</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keepLines/>
              <w:pageBreakBefore w:val="0"/>
              <w:widowControl w:val="1"/>
              <w:spacing w:before="0" w:after="0" w:line="293" w:lineRule="auto"/>
            </w:pPr>
            <w:r>
              <w:rPr>
                <w:rFonts w:ascii="Arial" w:hAnsi="Arial" w:cs="Arial" w:eastAsia="Arial"/>
                <w:b w:val="0"/>
                <w:i w:val="0"/>
                <w:color w:val="10192A"/>
                <w:sz w:val="17"/>
                <w:u w:val="none"/>
              </w:rPr>
              <w:t>At cost</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keepLines/>
              <w:pageBreakBefore w:val="0"/>
              <w:widowControl w:val="1"/>
              <w:spacing w:before="0" w:after="0" w:line="293" w:lineRule="auto"/>
            </w:pP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keepLines/>
              <w:pageBreakBefore w:val="0"/>
              <w:widowControl w:val="1"/>
              <w:spacing w:before="0" w:after="0" w:line="293" w:lineRule="auto"/>
            </w:pPr>
            <w:r>
              <w:rPr>
                <w:rFonts w:ascii="Arial" w:hAnsi="Arial" w:cs="Arial" w:eastAsia="Arial"/>
                <w:b w:val="0"/>
                <w:i w:val="0"/>
                <w:color w:val="10192A"/>
                <w:sz w:val="17"/>
                <w:u w:val="none"/>
              </w:rPr>
              <w:t>As incurred, with receipts</w:t>
            </w:r>
          </w:p>
        </w:tc>
      </w:tr>
    </w:tbl>
    <w:p>
      <w:pPr>
        <w:keepNext w:val="0"/>
        <w:keepLines/>
        <w:pageBreakBefore w:val="0"/>
        <w:widowControl w:val="1"/>
        <w:spacing w:before="80" w:after="0" w:line="298" w:lineRule="auto"/>
      </w:pPr>
      <w:r>
        <w:rPr>
          <w:rFonts w:ascii="Arial" w:hAnsi="Arial" w:cs="Arial" w:eastAsia="Arial"/>
          <w:b w:val="0"/>
          <w:i/>
          <w:color w:val="8493A8"/>
          <w:sz w:val="14"/>
          <w:u w:val="none"/>
        </w:rPr>
        <w:t>All amounts are inclusive of GST unless stated otherwise. We will not incur a disbursement above $250 without your prior approval.</w:t>
      </w:r>
    </w:p>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Refund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Engagement fee is non-refundable after 14 days</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Payment method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Invoice 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Purchase-order reference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Authorities</w:t>
      </w:r>
    </w:p>
    <w:p>
      <w:pPr>
        <w:keepNext/>
        <w:keepLines/>
        <w:pageBreakBefore w:val="0"/>
        <w:widowControl w:val="1"/>
        <w:spacing w:before="100" w:after="0"/>
      </w:pPr>
      <w:r>
        <w:rPr>
          <w:rFonts w:ascii="Arial" w:hAnsi="Arial" w:cs="Arial" w:eastAsia="Arial"/>
          <w:b w:val="0"/>
          <w:i w:val="0"/>
          <w:color w:val="4C5B73"/>
          <w:sz w:val="15"/>
          <w:u w:val="none"/>
        </w:rPr>
        <w:t>What you authorise us to do</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I authorise you to</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Make enquiries of selling agents on my behalf.</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Inspect properties on my behalf and report to me.</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Request contracts of sale and supporting documents.</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Negotiate on my behalf within limits I set in writing.</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Submit offers on my behalf within limits I set in writing.</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Liaise with my conveyancer, broker and other advisers.</w:t>
            </w:r>
          </w:p>
        </w:tc>
      </w:tr>
    </w:tbl>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Limits on authority</w:t>
            </w:r>
          </w:p>
          <w:p>
            <w:pPr>
              <w:keepNext w:val="0"/>
              <w:keepLines/>
              <w:pageBreakBefore w:val="0"/>
              <w:widowControl w:val="1"/>
              <w:spacing w:before="0" w:after="0" w:line="312" w:lineRule="auto"/>
            </w:pPr>
            <w:r>
              <w:rPr>
                <w:rFonts w:ascii="Arial" w:hAnsi="Arial" w:cs="Arial" w:eastAsia="Arial"/>
                <w:b w:val="0"/>
                <w:i w:val="0"/>
                <w:color w:val="10192A"/>
                <w:sz w:val="17"/>
                <w:u w:val="none"/>
              </w:rPr>
              <w:t>We will not sign anything on your behalf, will not exceed a price limit you have not confirmed in writing, and will not commit you to any contract. Every offer requires your written authority for that specific property at that specific price.</w:t>
            </w: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Communication preferences</w:t>
      </w:r>
    </w:p>
    <w:p>
      <w:pPr>
        <w:keepNext/>
        <w:keepLines/>
        <w:pageBreakBefore w:val="0"/>
        <w:widowControl w:val="1"/>
        <w:spacing w:before="100" w:after="0"/>
      </w:pPr>
      <w:r>
        <w:rPr>
          <w:rFonts w:ascii="Arial" w:hAnsi="Arial" w:cs="Arial" w:eastAsia="Arial"/>
          <w:b w:val="0"/>
          <w:i w:val="0"/>
          <w:color w:val="4C5B73"/>
          <w:sz w:val="15"/>
          <w:u w:val="none"/>
        </w:rPr>
        <w:t>How and how often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Preferred channel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Update frequency</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Secondary contact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Secondary contact details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May we contact your broker?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May we contact your conveyancer?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Consents</w:t>
      </w:r>
    </w:p>
    <w:p>
      <w:pPr>
        <w:keepNext/>
        <w:keepLines/>
        <w:pageBreakBefore w:val="0"/>
        <w:widowControl w:val="1"/>
        <w:spacing w:before="100" w:after="0"/>
      </w:pPr>
      <w:r>
        <w:rPr>
          <w:rFonts w:ascii="Arial" w:hAnsi="Arial" w:cs="Arial" w:eastAsia="Arial"/>
          <w:b w:val="0"/>
          <w:i w:val="0"/>
          <w:color w:val="4C5B73"/>
          <w:sz w:val="15"/>
          <w:u w:val="none"/>
        </w:rPr>
        <w:t>Each one separately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Consents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 consent to the collection and use of my personal information as described in the privacy notice at the end of this form.</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 consent to my information being shared with the third parties I have authorised above, for the purposes of this engagement only.</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 consent to receiving service-related communications by email and SMS.</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 consent to receiving marketing communications. (Optional — you may decline this and still engage us.)</w:t>
            </w:r>
          </w:p>
        </w:tc>
      </w:tr>
    </w:tbl>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These are separate on purpose</w:t>
            </w:r>
          </w:p>
          <w:p>
            <w:pPr>
              <w:keepNext w:val="0"/>
              <w:keepLines/>
              <w:pageBreakBefore w:val="0"/>
              <w:widowControl w:val="1"/>
              <w:spacing w:before="0" w:after="0" w:line="312" w:lineRule="auto"/>
            </w:pPr>
            <w:r>
              <w:rPr>
                <w:rFonts w:ascii="Arial" w:hAnsi="Arial" w:cs="Arial" w:eastAsia="Arial"/>
                <w:b w:val="0"/>
                <w:i w:val="0"/>
                <w:color w:val="10192A"/>
                <w:sz w:val="17"/>
                <w:u w:val="none"/>
              </w:rPr>
              <w:t>Each consent above is a separate decision and each is separately revocable. Declining the marketing consent has no effect on the engagement or on the service you receive.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What happens next</w:t>
      </w:r>
    </w:p>
    <w:p>
      <w:pPr>
        <w:keepNext/>
        <w:keepLines/>
        <w:pageBreakBefore w:val="0"/>
        <w:widowControl w:val="1"/>
        <w:spacing w:before="100" w:after="0"/>
      </w:pPr>
      <w:r>
        <w:rPr>
          <w:rFonts w:ascii="Arial" w:hAnsi="Arial" w:cs="Arial" w:eastAsia="Arial"/>
          <w:b w:val="0"/>
          <w:i w:val="0"/>
          <w:color w:val="4C5B73"/>
          <w:sz w:val="15"/>
          <w:u w:val="none"/>
        </w:rPr>
        <w:t>The first three steps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Brief</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We meet to develop your property brief and agree the search mandate.</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Search</w:t>
            </w:r>
          </w:p>
        </w:tc>
        <w:tc>
          <w:tcPr>
            <w:tcW w:type="dxa" w:w="7143"/>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We begin searching and report on shortlisted properties.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Act</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We inspect, assess, negotiate and manage the acquisition to settlement.</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Client</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For the organisation</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Name   </w:t>
            </w:r>
            <w:r>
              <w:rPr>
                <w:rFonts w:ascii="Arial" w:hAnsi="Arial" w:cs="Arial" w:eastAsia="Arial"/>
                <w:b w:val="0"/>
                <w:i/>
                <w:color w:val="8493A8"/>
                <w:sz w:val="17"/>
                <w:u w:val="none"/>
              </w:rPr>
              <w:t>{{author.name}}</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keepLines/>
        <w:pageBreakBefore w:val="1"/>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engagement</w:t>
      </w:r>
    </w:p>
    <w:p>
      <w:pPr>
        <w:keepNext w:val="0"/>
        <w:keepLines/>
        <w:pageBreakBefore w:val="0"/>
        <w:widowControl w:val="1"/>
        <w:spacing w:before="0" w:after="0" w:line="312" w:lineRule="auto"/>
      </w:pPr>
      <w:r>
        <w:rPr>
          <w:rFonts w:ascii="Arial" w:hAnsi="Arial" w:cs="Arial" w:eastAsia="Arial"/>
          <w:b w:val="0"/>
          <w:i w:val="0"/>
          <w:color w:val="4C5B73"/>
          <w:sz w:val="17"/>
          <w:u w:val="none"/>
        </w:rPr>
        <w:t>This engagement continues until the agreed work is complete or either party ends it by written notice. Fees accrued before the end date remain payable. Nothing in this form limits any right you have under the Australian Consumer Law.</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Onboarding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Onboarding Form</dc:title>
  <dc:subject>Engagement-level onboarding: parties, scope of service, fees, authorities, communication preferences and consents.</dc:subject>
  <dc:creator>Aurixa Systems</dc:creator>
  <cp:keywords>Onboarding, Engagement, Client setup,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