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8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62"/>
                <w:sz w:val="16"/>
                <w:u w:val="none"/>
              </w:rPr>
              <w:t>Income asset assessment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pacing w:val="4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{{asset.identity}}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INDUSTRIAL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MULTI-TENANTED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WALE 4.1 YRS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Contents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Executive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Investment metrics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Asset overview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Tenancy schedule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Lease expiry profile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Income &amp; outgoings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Capitalisation analysis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Risks &amp; mitigations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09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Recommendation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alibri" w:hAnsi="Calibri" w:cs="Calibri" w:eastAsia="Calibri"/>
          <w:b/>
          <w:i w:val="0"/>
          <w:color w:val="1D6FE0"/>
          <w:sz w:val="19"/>
          <w:u w:val="none"/>
        </w:rPr>
        <w:t xml:space="preserve">A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Lease abstracts</w:t>
      </w:r>
    </w:p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01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The income thesis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0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22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02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Investment metrics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Headline position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PASSING YIELD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NET INCOME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WALE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4"/>
                <w:u w:val="none"/>
              </w:rPr>
              <w:t>RATE PER m²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{{metrics.passingYield}}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On asking price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{{metrics.netIncome}}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Passing, per annum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{{metrics.wale}}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By income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32"/>
                <w:u w:val="none"/>
              </w:rPr>
              <w:t>{{metrics.ratePerSqm}}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Building area</w:t>
            </w:r>
          </w:p>
        </w:tc>
      </w:tr>
    </w:tbl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03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Asset overview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The physical asset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DCE3ED"/>
              <w:left w:val="single" w:sz="18" w:space="0" w:color="1D6FE0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5"/>
                <w:u w:val="none"/>
              </w:rPr>
              <w:t>Asset particulars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18"/>
              <w:gridCol w:w="2878"/>
              <w:gridCol w:w="1918"/>
              <w:gridCol w:w="2878"/>
            </w:tblGrid>
            <w:tr>
              <w:trPr>
                <w:cantSplit/>
                <w:trHeight w:val="431" w:hRule="atLeast"/>
              </w:trPr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Address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{{asset.address}}</w:t>
                  </w:r>
                </w:p>
              </w:tc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Title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{{asset.title}}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Site area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{{asset.siteArea}}</w:t>
                  </w:r>
                </w:p>
              </w:tc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Building area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{{asset.buildingArea}}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Site cover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{{asset.siteCover}}</w:t>
                  </w:r>
                </w:p>
              </w:tc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Zoning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{{asset.zoning}}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Construction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{{asset.construction}}</w:t>
                  </w:r>
                </w:p>
              </w:tc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Year built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{{asset.yearBuilt}}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Clearance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{{asset.clearance}}</w:t>
                  </w:r>
                </w:p>
              </w:tc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Loading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{{asset.loading}}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Power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{{asset.power}}</w:t>
                  </w:r>
                </w:p>
              </w:tc>
              <w:tc>
                <w:tcPr>
                  <w:tcW w:type="dxa" w:w="1918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Car parking</w:t>
                  </w:r>
                </w:p>
              </w:tc>
              <w:tc>
                <w:tcPr>
                  <w:tcW w:type="dxa" w:w="287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00" w:type="dxa"/>
                    <w:left w:w="140" w:type="dxa"/>
                    <w:bottom w:w="100" w:type="dxa"/>
                    <w:right w:w="140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{{asset.parking}}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04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Tenancy schedule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Who pays, how much, until when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Tenancy schedule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Tenancy schedule"/>
        <w:tblDescription w:val="Columns: Tenancy, Tenant, Area m², Commenced, Expires, Net rent p.a., $/m², Review, Options"/>
      </w:tblPr>
      <w:tblGrid>
        <w:gridCol w:w="782"/>
        <w:gridCol w:w="1799"/>
        <w:gridCol w:w="939"/>
        <w:gridCol w:w="1095"/>
        <w:gridCol w:w="1017"/>
        <w:gridCol w:w="1330"/>
        <w:gridCol w:w="861"/>
        <w:gridCol w:w="1173"/>
        <w:gridCol w:w="1095"/>
      </w:tblGrid>
      <w:tr>
        <w:trPr>
          <w:cantSplit/>
          <w:trHeight w:val="420" w:hRule="atLeast"/>
          <w:tblHeader/>
        </w:trPr>
        <w:tc>
          <w:tcPr>
            <w:tcW w:type="dxa" w:w="78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Tenancy</w:t>
            </w:r>
          </w:p>
        </w:tc>
        <w:tc>
          <w:tcPr>
            <w:tcW w:type="dxa" w:w="179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Tenant</w:t>
            </w:r>
          </w:p>
        </w:tc>
        <w:tc>
          <w:tcPr>
            <w:tcW w:type="dxa" w:w="9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Area m²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Commenced</w:t>
            </w:r>
          </w:p>
        </w:tc>
        <w:tc>
          <w:tcPr>
            <w:tcW w:type="dxa" w:w="101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Expires</w:t>
            </w:r>
          </w:p>
        </w:tc>
        <w:tc>
          <w:tcPr>
            <w:tcW w:type="dxa" w:w="133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Net rent p.a.</w:t>
            </w:r>
          </w:p>
        </w:tc>
        <w:tc>
          <w:tcPr>
            <w:tcW w:type="dxa" w:w="8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$/m²</w:t>
            </w:r>
          </w:p>
        </w:tc>
        <w:tc>
          <w:tcPr>
            <w:tcW w:type="dxa" w:w="117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Review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Options</w:t>
            </w:r>
          </w:p>
        </w:tc>
      </w:tr>
      <w:tr>
        <w:trPr>
          <w:cantSplit/>
          <w:trHeight w:val="397" w:hRule="atLeast"/>
        </w:trPr>
        <w:tc>
          <w:tcPr>
            <w:tcW w:type="dxa" w:w="7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7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{{tenant}}</w:t>
            </w:r>
          </w:p>
        </w:tc>
        <w:tc>
          <w:tcPr>
            <w:tcW w:type="dxa" w:w="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{{area}}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{{commenced}}</w:t>
            </w:r>
          </w:p>
        </w:tc>
        <w:tc>
          <w:tcPr>
            <w:tcW w:type="dxa" w:w="10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{{expires}}</w:t>
            </w:r>
          </w:p>
        </w:tc>
        <w:tc>
          <w:tcPr>
            <w:tcW w:type="dxa" w:w="133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8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17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{{review}}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{{options}}</w:t>
            </w:r>
          </w:p>
        </w:tc>
      </w:tr>
      <w:tr>
        <w:trPr>
          <w:cantSplit/>
          <w:trHeight w:val="397" w:hRule="atLeast"/>
        </w:trPr>
        <w:tc>
          <w:tcPr>
            <w:tcW w:type="dxa" w:w="7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7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{{tenant}}</w:t>
            </w:r>
          </w:p>
        </w:tc>
        <w:tc>
          <w:tcPr>
            <w:tcW w:type="dxa" w:w="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{{area}}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{{commenced}}</w:t>
            </w:r>
          </w:p>
        </w:tc>
        <w:tc>
          <w:tcPr>
            <w:tcW w:type="dxa" w:w="10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{{expires}}</w:t>
            </w:r>
          </w:p>
        </w:tc>
        <w:tc>
          <w:tcPr>
            <w:tcW w:type="dxa" w:w="133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8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17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{{review}}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{{options}}</w:t>
            </w:r>
          </w:p>
        </w:tc>
      </w:tr>
      <w:tr>
        <w:trPr>
          <w:cantSplit/>
          <w:trHeight w:val="397" w:hRule="atLeast"/>
        </w:trPr>
        <w:tc>
          <w:tcPr>
            <w:tcW w:type="dxa" w:w="7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7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{{tenant}}</w:t>
            </w:r>
          </w:p>
        </w:tc>
        <w:tc>
          <w:tcPr>
            <w:tcW w:type="dxa" w:w="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{{area}}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{{commenced}}</w:t>
            </w:r>
          </w:p>
        </w:tc>
        <w:tc>
          <w:tcPr>
            <w:tcW w:type="dxa" w:w="10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{{expires}}</w:t>
            </w:r>
          </w:p>
        </w:tc>
        <w:tc>
          <w:tcPr>
            <w:tcW w:type="dxa" w:w="133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8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17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{{review}}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{{options}}</w:t>
            </w:r>
          </w:p>
        </w:tc>
      </w:tr>
      <w:tr>
        <w:trPr>
          <w:cantSplit/>
          <w:trHeight w:val="397" w:hRule="atLeast"/>
        </w:trPr>
        <w:tc>
          <w:tcPr>
            <w:tcW w:type="dxa" w:w="78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179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{{tenant}}</w:t>
            </w:r>
          </w:p>
        </w:tc>
        <w:tc>
          <w:tcPr>
            <w:tcW w:type="dxa" w:w="9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{{area}}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{{commenced}}</w:t>
            </w:r>
          </w:p>
        </w:tc>
        <w:tc>
          <w:tcPr>
            <w:tcW w:type="dxa" w:w="101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{{expires}}</w:t>
            </w:r>
          </w:p>
        </w:tc>
        <w:tc>
          <w:tcPr>
            <w:tcW w:type="dxa" w:w="133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{{rent}}</w:t>
            </w:r>
          </w:p>
        </w:tc>
        <w:tc>
          <w:tcPr>
            <w:tcW w:type="dxa" w:w="86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17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{{review}}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{{options}}</w:t>
            </w:r>
          </w:p>
        </w:tc>
      </w:tr>
      <w:tr>
        <w:trPr>
          <w:cantSplit/>
          <w:trHeight w:val="397" w:hRule="atLeast"/>
        </w:trPr>
        <w:tc>
          <w:tcPr>
            <w:tcW w:type="dxa" w:w="78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79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/ weighted</w:t>
            </w:r>
          </w:p>
        </w:tc>
        <w:tc>
          <w:tcPr>
            <w:tcW w:type="dxa" w:w="9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4,820</w:t>
            </w:r>
          </w:p>
        </w:tc>
        <w:tc>
          <w:tcPr>
            <w:tcW w:type="dxa" w:w="10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01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33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$769,450</w:t>
            </w:r>
          </w:p>
        </w:tc>
        <w:tc>
          <w:tcPr>
            <w:tcW w:type="dxa" w:w="86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$160</w:t>
            </w:r>
          </w:p>
        </w:tc>
        <w:tc>
          <w:tcPr>
            <w:tcW w:type="dxa" w:w="117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10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Rents are net of outgoings, which are fully recoverable under all four leases. Passing net income after a 3.5% structural vacancy allowance is $742,000.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05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Lease expiry profile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When income is at risk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2948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18"/>
                <w:u w:val="none"/>
              </w:rPr>
              <w:t>Income expiring by financial year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COLUMN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{{tenancies.expiryProfile}}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Percentage of passing income   ·   Source: Lease schedule   ·   Alt text: 47% of income expires in FY2029, with the remainder spread across FY2030 to FY2032</w:t>
      </w:r>
    </w:p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Income expiring by year, before options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826"/>
        <w:gridCol w:w="5651"/>
        <w:gridCol w:w="1615"/>
      </w:tblGrid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{{year}}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0C234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{{share}}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{{year}}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{{share}}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{{year}}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12B0C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{{share}}</w:t>
            </w:r>
          </w:p>
        </w:tc>
      </w:tr>
      <w:tr>
        <w:trPr>
          <w:cantSplit/>
          <w:trHeight w:val="420" w:hRule="atLeast"/>
        </w:trPr>
        <w:tc>
          <w:tcPr>
            <w:tcW w:type="dxa" w:w="2826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{{year}}</w:t>
            </w:r>
          </w:p>
        </w:tc>
        <w:tc>
          <w:tcPr>
            <w:tcW w:type="dxa" w:w="565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center"/>
          </w:tcPr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26"/>
              <w:gridCol w:w="2826"/>
            </w:tblGrid>
            <w:tr>
              <w:trPr>
                <w:cantSplit/>
              </w:trPr>
              <w:tc>
                <w:tcPr>
                  <w:tcW w:type="dxa" w:w="2826"/>
                  <w:shd w:val="clear" w:color="auto" w:fill="5B96EB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826"/>
                  <w:shd w:val="clear" w:color="auto" w:fill="EDF1F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180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>
            <w:pPr>
              <w:keepNext/>
            </w:pPr>
          </w:p>
        </w:tc>
        <w:tc>
          <w:tcPr>
            <w:tcW w:type="dxa" w:w="1615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{{share}}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If every option is exercised the FY2029 exposure moves to FY2032 and WALE extends to 6.4 years. Options are the tenant's to exercise, not the landlord's.</w:t>
      </w:r>
    </w:p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06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Income &amp; outgoings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Net income reconciliation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Income and outgoings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Income and outgoings"/>
        <w:tblDescription w:val="Columns: Item, Amount p.a., Recoverable, Net effect"/>
      </w:tblPr>
      <w:tblGrid>
        <w:gridCol w:w="4195"/>
        <w:gridCol w:w="1928"/>
        <w:gridCol w:w="1701"/>
        <w:gridCol w:w="2268"/>
      </w:tblGrid>
      <w:tr>
        <w:trPr>
          <w:cantSplit/>
          <w:trHeight w:val="420" w:hRule="atLeast"/>
          <w:tblHeader/>
        </w:trPr>
        <w:tc>
          <w:tcPr>
            <w:tcW w:type="dxa" w:w="41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 p.a.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Recoverable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Net effect</w:t>
            </w:r>
          </w:p>
        </w:tc>
      </w:tr>
      <w:tr>
        <w:trPr>
          <w:cantSplit/>
          <w:trHeight w:val="397" w:hRule="atLeast"/>
        </w:trPr>
        <w:tc>
          <w:tcPr>
            <w:tcW w:type="dxa" w:w="41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41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41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41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41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419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170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{{recoverable}}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{{net}}</w:t>
            </w:r>
          </w:p>
        </w:tc>
      </w:tr>
      <w:tr>
        <w:trPr>
          <w:cantSplit/>
          <w:trHeight w:val="397" w:hRule="atLeast"/>
        </w:trPr>
        <w:tc>
          <w:tcPr>
            <w:tcW w:type="dxa" w:w="419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Net passing income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70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2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$742,000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Outgoings are fully recoverable under all four leases except for capital and structural repairs, which are the landlord's.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07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Capitalisation analysis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What it is worth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30"/>
          <w:sz w:val="15"/>
          <w:u w:val="none"/>
        </w:rPr>
        <w:t>Value at a range of capitalisation rates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Value at a range of capitalisation rates"/>
        <w:tblDescription w:val="Columns: Capitalisation rate, Implied value, $/m², Comment"/>
      </w:tblPr>
      <w:tblGrid>
        <w:gridCol w:w="2381"/>
        <w:gridCol w:w="2268"/>
        <w:gridCol w:w="1587"/>
        <w:gridCol w:w="3855"/>
      </w:tblGrid>
      <w:tr>
        <w:trPr>
          <w:cantSplit/>
          <w:trHeight w:val="420" w:hRule="atLeast"/>
          <w:tblHeader/>
        </w:trPr>
        <w:tc>
          <w:tcPr>
            <w:tcW w:type="dxa" w:w="238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Capitalisation rate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Implied value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$/m²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Comment</w:t>
            </w:r>
          </w:p>
        </w:tc>
      </w:tr>
      <w:tr>
        <w:trPr>
          <w:cantSplit/>
          <w:trHeight w:val="397" w:hRule="atLeast"/>
        </w:trPr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{{rate_sqm}}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</w:tr>
      <w:tr>
        <w:trPr>
          <w:cantSplit/>
          <w:trHeight w:val="397" w:hRule="atLeast"/>
        </w:trPr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{{rate_sqm}}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</w:tr>
      <w:tr>
        <w:trPr>
          <w:cantSplit/>
          <w:trHeight w:val="397" w:hRule="atLeast"/>
        </w:trPr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{{rate_sqm}}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</w:tr>
      <w:tr>
        <w:trPr>
          <w:cantSplit/>
          <w:trHeight w:val="397" w:hRule="atLeast"/>
        </w:trPr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{{rate_sqm}}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</w:tr>
      <w:tr>
        <w:trPr>
          <w:cantSplit/>
          <w:trHeight w:val="397" w:hRule="atLeast"/>
        </w:trPr>
        <w:tc>
          <w:tcPr>
            <w:tcW w:type="dxa" w:w="238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22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{{value}}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{{rate_sqm}}</w:t>
            </w:r>
          </w:p>
        </w:tc>
        <w:tc>
          <w:tcPr>
            <w:tcW w:type="dxa" w:w="385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{{comment}}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Precinct evidence over the last twelve months ranges from 6.60% to 7.40%, with the tighter rates on assets with longer WALE and stronger covenants.</w:t>
      </w:r>
    </w:p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08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Risks &amp; mitigations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Income at risk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30"/>
          <w:sz w:val="15"/>
          <w:u w:val="none"/>
        </w:rPr>
        <w:t>Risks &amp; mitigations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&amp; mitig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mbria" w:hAnsi="Cambria" w:cs="Cambria" w:eastAsia="Cambria"/>
                <w:b/>
                <w:i w:val="0"/>
                <w:color w:val="FFFFFF"/>
                <w:sz w:val="27"/>
                <w:u w:val="none"/>
              </w:rPr>
              <w:t>09</w:t>
            </w: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Recommendation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Acquire, condition or decline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80" w:type="dxa"/>
              <w:left w:w="210" w:type="dxa"/>
              <w:bottom w:w="180" w:type="dxa"/>
              <w:right w:w="21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0"/>
                <w:sz w:val="15"/>
                <w:u w:val="none"/>
              </w:rPr>
              <w:t>RECOMMENDATION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mbria" w:hAnsi="Cambria" w:cs="Cambria" w:eastAsia="Cambria"/>
                <w:b/>
                <w:i w:val="0"/>
                <w:color w:val="0C2340"/>
                <w:sz w:val="22"/>
                <w:u w:val="none"/>
              </w:rPr>
              <w:t>{{report.recommendation}}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30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2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{{report.nextSteps[2]}}</w:t>
            </w:r>
          </w:p>
        </w:tc>
      </w:tr>
    </w:tbl>
    <w:p>
      <w:pPr>
        <w:keepNext/>
        <w:keepLines/>
        <w:pageBreakBefore w:val="1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54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mbria" w:hAnsi="Cambria" w:cs="Cambria" w:eastAsia="Cambria"/>
          <w:b/>
          <w:i w:val="0"/>
          <w:color w:val="0C2340"/>
          <w:sz w:val="34"/>
          <w:u w:val="none"/>
        </w:rPr>
        <w:t>Lease abstracts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22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One abstract per tenancy, with the terms that drive value.</w:t>
      </w:r>
    </w:p>
    <w:p>
      <w:pPr>
        <w:keepNext w:val="0"/>
        <w:keepLines/>
        <w:pageBreakBefore w:val="0"/>
        <w:widowControl w:val="1"/>
        <w:spacing w:before="0" w:after="0" w:line="1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Ref, Term, Tenancy 1, Tenancy 2, Tenancy 3, Tenancy 4"/>
      </w:tblPr>
      <w:tblGrid>
        <w:gridCol w:w="850"/>
        <w:gridCol w:w="2443"/>
        <w:gridCol w:w="1700"/>
        <w:gridCol w:w="1700"/>
        <w:gridCol w:w="1700"/>
        <w:gridCol w:w="1700"/>
      </w:tblGrid>
      <w:tr>
        <w:trPr>
          <w:cantSplit/>
          <w:trHeight w:val="420" w:hRule="atLeast"/>
          <w:tblHeader/>
        </w:trPr>
        <w:tc>
          <w:tcPr>
            <w:tcW w:type="dxa" w:w="85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244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Term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Tenancy 1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Tenancy 2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Tenancy 3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100" w:type="dxa"/>
              <w:left w:w="140" w:type="dxa"/>
              <w:bottom w:w="100" w:type="dxa"/>
              <w:right w:w="140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Tenancy 4</w:t>
            </w:r>
          </w:p>
        </w:tc>
      </w:tr>
      <w:tr>
        <w:trPr>
          <w:cantSplit/>
          <w:trHeight w:val="397" w:hRule="atLeast"/>
        </w:trPr>
        <w:tc>
          <w:tcPr>
            <w:tcW w:type="dxa" w:w="85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{{term}}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{{t1}}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{{t2}}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{{t3}}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{{t4}}</w:t>
            </w:r>
          </w:p>
        </w:tc>
      </w:tr>
      <w:tr>
        <w:trPr>
          <w:cantSplit/>
          <w:trHeight w:val="397" w:hRule="atLeast"/>
        </w:trPr>
        <w:tc>
          <w:tcPr>
            <w:tcW w:type="dxa" w:w="85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{{term}}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{{t1}}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{{t2}}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{{t3}}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{{t4}}</w:t>
            </w:r>
          </w:p>
        </w:tc>
      </w:tr>
      <w:tr>
        <w:trPr>
          <w:cantSplit/>
          <w:trHeight w:val="397" w:hRule="atLeast"/>
        </w:trPr>
        <w:tc>
          <w:tcPr>
            <w:tcW w:type="dxa" w:w="85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{{term}}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{{t1}}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{{t2}}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{{t3}}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{{t4}}</w:t>
            </w:r>
          </w:p>
        </w:tc>
      </w:tr>
      <w:tr>
        <w:trPr>
          <w:cantSplit/>
          <w:trHeight w:val="397" w:hRule="atLeast"/>
        </w:trPr>
        <w:tc>
          <w:tcPr>
            <w:tcW w:type="dxa" w:w="85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{{term}}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{{t1}}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{{t2}}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{{t3}}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{{t4}}</w:t>
            </w:r>
          </w:p>
        </w:tc>
      </w:tr>
      <w:tr>
        <w:trPr>
          <w:cantSplit/>
          <w:trHeight w:val="397" w:hRule="atLeast"/>
        </w:trPr>
        <w:tc>
          <w:tcPr>
            <w:tcW w:type="dxa" w:w="85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{{term}}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{{t1}}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{{t2}}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{{t3}}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{{t4}}</w:t>
            </w:r>
          </w:p>
        </w:tc>
      </w:tr>
      <w:tr>
        <w:trPr>
          <w:cantSplit/>
          <w:trHeight w:val="397" w:hRule="atLeast"/>
        </w:trPr>
        <w:tc>
          <w:tcPr>
            <w:tcW w:type="dxa" w:w="85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24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{{term}}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{{t1}}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{{t2}}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{{t3}}</w:t>
            </w:r>
          </w:p>
        </w:tc>
        <w:tc>
          <w:tcPr>
            <w:tcW w:type="dxa" w:w="170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{{t4}}</w:t>
            </w:r>
          </w:p>
        </w:tc>
      </w:tr>
    </w:tbl>
    <w:p>
      <w:pPr>
        <w:keepNext w:val="0"/>
        <w:keepLines/>
        <w:pageBreakBefore w:val="1"/>
        <w:widowControl w:val="1"/>
        <w:spacing w:before="0" w:after="0" w:line="20" w:lineRule="exact"/>
        <w:rPr>
          <w:sz w:val="2"/>
        </w:rPr>
      </w:pP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4"/>
        <w:gridCol w:w="9128"/>
      </w:tblGrid>
      <w:tr>
        <w:trPr>
          <w:cantSplit/>
          <w:trHeight w:val="680" w:hRule="atLeast"/>
        </w:trPr>
        <w:tc>
          <w:tcPr>
            <w:tcW w:type="dxa" w:w="964"/>
            <w:shd w:val="clear" w:color="auto" w:fill="1D6FE0"/>
            <w:tcMar>
              <w:top w:w="90" w:type="dxa"/>
              <w:left w:w="50" w:type="dxa"/>
              <w:bottom w:w="90" w:type="dxa"/>
              <w:right w:w="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</w:p>
        </w:tc>
        <w:tc>
          <w:tcPr>
            <w:tcW w:type="dxa" w:w="9128"/>
            <w:shd w:val="clear" w:color="auto" w:fill="0C2340"/>
            <w:tcMar>
              <w:top w:w="95" w:type="dxa"/>
              <w:left w:w="190" w:type="dxa"/>
              <w:bottom w:w="95" w:type="dxa"/>
              <w:right w:w="150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20"/>
            </w:pPr>
            <w:r>
              <w:rPr>
                <w:rFonts w:ascii="Cambria" w:hAnsi="Cambria" w:cs="Cambria" w:eastAsia="Cambria"/>
                <w:b/>
                <w:i w:val="0"/>
                <w:caps w:val="1"/>
                <w:color w:val="FFFFFF"/>
                <w:spacing w:val="38"/>
                <w:sz w:val="25"/>
                <w:u w:val="none"/>
              </w:rPr>
              <w:t>Important information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1D6FE0"/>
                <w:spacing w:val="22"/>
                <w:sz w:val="14"/>
                <w:u w:val="none"/>
              </w:rPr>
              <w:t>Disclaimer, privacy and terms</w:t>
            </w:r>
          </w:p>
        </w:tc>
      </w:tr>
    </w:tbl>
    <w:p>
      <w:pPr>
        <w:keepNext w:val="1"/>
        <w:keepLines/>
        <w:pageBreakBefore w:val="0"/>
        <w:widowControl w:val="1"/>
        <w:spacing w:before="0" w:after="0" w:line="2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mbria" w:hAnsi="Cambria" w:cs="Cambria" w:eastAsia="Cambria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2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mbria" w:hAnsi="Cambria" w:cs="Cambria" w:eastAsia="Cambria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2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mbria" w:hAnsi="Cambria" w:cs="Cambria" w:eastAsia="Cambria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22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30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0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30"/>
              <w:sz w:val="14"/>
              <w:u w:val="none"/>
            </w:rPr>
            <w:t>Commercial Property Assessment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Commercial Property Assessment</dc:title>
  <dc:subject>Assessment of a commercial or industrial asset: tenancy, lease covenants, WALE, outgoings, capitalisation and the investment position.</dc:subject>
  <dc:creator>Aurixa Systems</dc:creator>
  <cp:keywords>Commercial property, Industrial assessment, Income asset,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