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Build funding structure</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Construction Finance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Lot 148, Riverbend Estate — how the build is funded, what it costs while it is building, and the position at completion.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STAGED</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IDC MODELLED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Funding summary</w:t>
      </w:r>
    </w:p>
    <w:p>
      <w:pPr>
        <w:keepNext/>
        <w:keepLines/>
        <w:pageBreakBefore w:val="0"/>
        <w:widowControl w:val="1"/>
        <w:spacing w:before="100" w:after="0"/>
      </w:pPr>
      <w:r>
        <w:rPr>
          <w:rFonts w:ascii="Calibri" w:hAnsi="Calibri" w:cs="Calibri" w:eastAsia="Calibri"/>
          <w:b w:val="0"/>
          <w:i w:val="0"/>
          <w:color w:val="4C5B73"/>
          <w:sz w:val="15"/>
          <w:u w:val="none"/>
        </w:rPr>
        <w:t>The headline structure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LAND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BUILD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TOTAL FACILITY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INTEREST DURING BUILD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$267,280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$334,100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$360,320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$450,400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$627,600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on-completion value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$14,860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44 weeks, capitalised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Structure</w:t>
      </w:r>
    </w:p>
    <w:p>
      <w:pPr>
        <w:keepNext/>
        <w:keepLines/>
        <w:pageBreakBefore w:val="0"/>
        <w:widowControl w:val="1"/>
        <w:spacing w:before="100" w:after="0"/>
      </w:pPr>
      <w:r>
        <w:rPr>
          <w:rFonts w:ascii="Calibri" w:hAnsi="Calibri" w:cs="Calibri" w:eastAsia="Calibri"/>
          <w:b w:val="0"/>
          <w:i w:val="0"/>
          <w:color w:val="4C5B73"/>
          <w:sz w:val="15"/>
          <w:u w:val="none"/>
        </w:rPr>
        <w:t>The facilities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Facility structure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acility structure"/>
        <w:tblDescription w:val="Columns: Facility, Purpose, Limit, Rate, Type, Term, Repayment"/>
      </w:tblPr>
      <w:tblGrid>
        <w:gridCol w:w="1238"/>
        <w:gridCol w:w="2190"/>
        <w:gridCol w:w="1333"/>
        <w:gridCol w:w="952"/>
        <w:gridCol w:w="1142"/>
        <w:gridCol w:w="1047"/>
        <w:gridCol w:w="2190"/>
      </w:tblGrid>
      <w:tr>
        <w:trPr>
          <w:cantSplit/>
          <w:trHeight w:val="420" w:hRule="atLeast"/>
          <w:tblHeader/>
        </w:trPr>
        <w:tc>
          <w:tcPr>
            <w:tcW w:type="dxa" w:w="123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c>
          <w:tcPr>
            <w:tcW w:type="dxa" w:w="133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95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1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04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Term</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Repayment</w:t>
            </w:r>
          </w:p>
        </w:tc>
      </w:tr>
      <w:tr>
        <w:trPr>
          <w:cantSplit/>
          <w:trHeight w:val="397" w:hRule="atLeast"/>
        </w:trPr>
        <w:tc>
          <w:tcPr>
            <w:tcW w:type="dxa" w:w="123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 the land contract</w:t>
            </w:r>
          </w:p>
        </w:tc>
        <w:tc>
          <w:tcPr>
            <w:tcW w:type="dxa" w:w="133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$267,280</w:t>
            </w:r>
          </w:p>
        </w:tc>
        <w:tc>
          <w:tcPr>
            <w:tcW w:type="dxa" w:w="95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6.34%</w:t>
            </w:r>
          </w:p>
        </w:tc>
        <w:tc>
          <w:tcPr>
            <w:tcW w:type="dxa" w:w="11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Variable</w:t>
            </w:r>
          </w:p>
        </w:tc>
        <w:tc>
          <w:tcPr>
            <w:tcW w:type="dxa" w:w="104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 years</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only during build</w:t>
            </w:r>
          </w:p>
        </w:tc>
      </w:tr>
      <w:tr>
        <w:trPr>
          <w:cantSplit/>
          <w:trHeight w:val="397" w:hRule="atLeast"/>
        </w:trPr>
        <w:tc>
          <w:tcPr>
            <w:tcW w:type="dxa" w:w="123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progress claims</w:t>
            </w:r>
          </w:p>
        </w:tc>
        <w:tc>
          <w:tcPr>
            <w:tcW w:type="dxa" w:w="133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$360,320</w:t>
            </w:r>
          </w:p>
        </w:tc>
        <w:tc>
          <w:tcPr>
            <w:tcW w:type="dxa" w:w="95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6.54%</w:t>
            </w:r>
          </w:p>
        </w:tc>
        <w:tc>
          <w:tcPr>
            <w:tcW w:type="dxa" w:w="11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Variable</w:t>
            </w:r>
          </w:p>
        </w:tc>
        <w:tc>
          <w:tcPr>
            <w:tcW w:type="dxa" w:w="104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 years</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only on drawn balance</w:t>
            </w:r>
          </w:p>
        </w:tc>
      </w:tr>
      <w:tr>
        <w:trPr>
          <w:cantSplit/>
          <w:trHeight w:val="397" w:hRule="atLeast"/>
        </w:trPr>
        <w:tc>
          <w:tcPr>
            <w:tcW w:type="dxa" w:w="123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133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$627,600</w:t>
            </w:r>
          </w:p>
        </w:tc>
        <w:tc>
          <w:tcPr>
            <w:tcW w:type="dxa" w:w="95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6.45%</w:t>
            </w:r>
          </w:p>
        </w:tc>
        <w:tc>
          <w:tcPr>
            <w:tcW w:type="dxa" w:w="114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104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charged only on the drawn balance of the construction facility, so the effective cost during the build is far below the full limit.</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Drawdown schedule</w:t>
      </w:r>
    </w:p>
    <w:p>
      <w:pPr>
        <w:keepNext/>
        <w:keepLines/>
        <w:pageBreakBefore w:val="0"/>
        <w:widowControl w:val="1"/>
        <w:spacing w:before="100" w:after="0"/>
      </w:pPr>
      <w:r>
        <w:rPr>
          <w:rFonts w:ascii="Calibri" w:hAnsi="Calibri" w:cs="Calibri" w:eastAsia="Calibri"/>
          <w:b w:val="0"/>
          <w:i w:val="0"/>
          <w:color w:val="4C5B73"/>
          <w:sz w:val="15"/>
          <w:u w:val="none"/>
        </w:rPr>
        <w:t>Staged against build progress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Progress drawdown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Land settlement — $267,280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Land facility fully drawn · cumulative $267,280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4</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Deposit — $22,520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5% of build contract · cumulative $289,800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10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Base stage — $67,560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15% on slab · cumulative $357,360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20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Frame stage — $90,080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20% on frame · cumulative $447,440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32</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Lock-up — $112,600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25% at lock-up · cumulative $560,040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40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Fixing — $90,080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20% at fixing · cumulative $650,120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44</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Completion — $67,560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15% on practical completion · cumulative $717,680</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Interest during construction</w:t>
      </w:r>
    </w:p>
    <w:p>
      <w:pPr>
        <w:keepNext/>
        <w:keepLines/>
        <w:pageBreakBefore w:val="0"/>
        <w:widowControl w:val="1"/>
        <w:spacing w:before="100" w:after="0"/>
      </w:pPr>
      <w:r>
        <w:rPr>
          <w:rFonts w:ascii="Calibri" w:hAnsi="Calibri" w:cs="Calibri" w:eastAsia="Calibri"/>
          <w:b w:val="0"/>
          <w:i w:val="0"/>
          <w:color w:val="4C5B73"/>
          <w:sz w:val="15"/>
          <w:u w:val="none"/>
        </w:rPr>
        <w:t>What it costs to build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Interest during construction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terest during construction"/>
        <w:tblDescription w:val="Columns: Stage, Weeks, Drawn balance, Rate, Interest, Cumulative"/>
      </w:tblPr>
      <w:tblGrid>
        <w:gridCol w:w="2551"/>
        <w:gridCol w:w="1220"/>
        <w:gridCol w:w="1885"/>
        <w:gridCol w:w="1220"/>
        <w:gridCol w:w="1553"/>
        <w:gridCol w:w="1663"/>
      </w:tblGrid>
      <w:tr>
        <w:trPr>
          <w:cantSplit/>
          <w:trHeight w:val="420" w:hRule="atLeast"/>
          <w:tblHeader/>
        </w:trPr>
        <w:tc>
          <w:tcPr>
            <w:tcW w:type="dxa" w:w="25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Stage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Weeks</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Drawn balance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55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Interest</w:t>
            </w:r>
          </w:p>
        </w:tc>
        <w:tc>
          <w:tcPr>
            <w:tcW w:type="dxa" w:w="166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only</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0–4</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$267,280</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6.34%</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$1,304</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$1,304</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Deposit drawn</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4–10</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$289,800</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6.42%</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$2,146</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$3,450</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Base 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10–20</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$357,360</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6.45%</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$4,433</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$7,883</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Frame 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20–32</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$447,440</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6.47%</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$6,680</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$14,563</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Lock-up</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32–40</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$560,040</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6.49%</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$5,592</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$20,155</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Fixing to completion</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40–44</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$650,120</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6.50%</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$3,251</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$23,406</w:t>
            </w:r>
          </w:p>
        </w:tc>
      </w:tr>
      <w:tr>
        <w:trPr>
          <w:cantSplit/>
          <w:trHeight w:val="397" w:hRule="atLeast"/>
        </w:trPr>
        <w:tc>
          <w:tcPr>
            <w:tcW w:type="dxa" w:w="2551"/>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interest during construction</w:t>
            </w: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44</w:t>
            </w: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55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$23,406</w:t>
            </w:r>
          </w:p>
        </w:tc>
        <w:tc>
          <w:tcPr>
            <w:tcW w:type="dxa" w:w="166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capitalised into the facility rather than paid monthly, so no cash contribution is required during the build. The capitalised amount increases the balance at completion.</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Completion position</w:t>
      </w:r>
    </w:p>
    <w:p>
      <w:pPr>
        <w:keepNext/>
        <w:keepLines/>
        <w:pageBreakBefore w:val="0"/>
        <w:widowControl w:val="1"/>
        <w:spacing w:before="100" w:after="0"/>
      </w:pPr>
      <w:r>
        <w:rPr>
          <w:rFonts w:ascii="Calibri" w:hAnsi="Calibri" w:cs="Calibri" w:eastAsia="Calibri"/>
          <w:b w:val="0"/>
          <w:i w:val="0"/>
          <w:color w:val="4C5B73"/>
          <w:sz w:val="15"/>
          <w:u w:val="none"/>
        </w:rPr>
        <w:t>Where you land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Position at practical completion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osition at practical completion"/>
        <w:tblDescription w:val="Columns: Item, Amount, Note"/>
      </w:tblPr>
      <w:tblGrid>
        <w:gridCol w:w="3628"/>
        <w:gridCol w:w="1928"/>
        <w:gridCol w:w="4535"/>
      </w:tblGrid>
      <w:tr>
        <w:trPr>
          <w:cantSplit/>
          <w:trHeight w:val="420" w:hRule="atLeast"/>
          <w:tblHeader/>
        </w:trPr>
        <w:tc>
          <w:tcPr>
            <w:tcW w:type="dxa" w:w="36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45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price</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$334,100</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Settled at week 0</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 contract</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$450,400</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Including upgrades</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during construction</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$23,406</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Capitalised</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Total cost</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$807,906</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Excluding acquisition costs</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On-completion valuation</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$743,000</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 — see the package assessment</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Debt at completion</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$651,006</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Facility plus capitalised interest</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LVR at completion</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87.6%</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Against the on-completion valuation</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Cash contributed</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$156,900</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Deposit and acquisition costs</w:t>
            </w:r>
          </w:p>
        </w:tc>
      </w:tr>
      <w:tr>
        <w:trPr>
          <w:cantSplit/>
          <w:trHeight w:val="397" w:hRule="atLeast"/>
        </w:trPr>
        <w:tc>
          <w:tcPr>
            <w:tcW w:type="dxa" w:w="362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Equity at completion</w:t>
            </w:r>
          </w:p>
        </w:tc>
        <w:tc>
          <w:tcPr>
            <w:tcW w:type="dxa" w:w="192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$91,994</w:t>
            </w:r>
          </w:p>
        </w:tc>
        <w:tc>
          <w:tcPr>
            <w:tcW w:type="dxa" w:w="45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Value less debt</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An LVR of 87.6% against the on-completion valuation exceeds the 80% assumed when the facility was structured. This is the direct consequence of the package being priced above comparable completed stock, and it will require either LMI or an additional cash contribution at completion.</w:t>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Conditions precedent</w:t>
      </w:r>
    </w:p>
    <w:p>
      <w:pPr>
        <w:keepNext/>
        <w:keepLines/>
        <w:pageBreakBefore w:val="0"/>
        <w:widowControl w:val="1"/>
        <w:spacing w:before="100" w:after="0"/>
      </w:pPr>
      <w:r>
        <w:rPr>
          <w:rFonts w:ascii="Calibri" w:hAnsi="Calibri" w:cs="Calibri" w:eastAsia="Calibri"/>
          <w:b w:val="0"/>
          <w:i w:val="0"/>
          <w:color w:val="4C5B73"/>
          <w:sz w:val="15"/>
          <w:u w:val="none"/>
        </w:rPr>
        <w:t>Before each drawdown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Conditions precedent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Executed fixed-price building contract, signed by both parties.</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Builder's public liability and construction works insurance, current.</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Home warranty insurance certificate.</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Council-approved plans and the construction certificate.</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Lot registration confirmed and title issued.</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Progress claim certified by the lender's valuer before each drawdown.</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Final occupation certificate before the completion drawdown.</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Risks</w:t>
      </w:r>
    </w:p>
    <w:p>
      <w:pPr>
        <w:keepNext/>
        <w:keepLines/>
        <w:pageBreakBefore w:val="0"/>
        <w:widowControl w:val="1"/>
        <w:spacing w:before="100" w:after="0"/>
      </w:pPr>
      <w:r>
        <w:rPr>
          <w:rFonts w:ascii="Calibri" w:hAnsi="Calibri" w:cs="Calibri" w:eastAsia="Calibri"/>
          <w:b w:val="0"/>
          <w:i w:val="0"/>
          <w:color w:val="4C5B73"/>
          <w:sz w:val="15"/>
          <w:u w:val="none"/>
        </w:rPr>
        <w:t>What could go wrong</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LVR at completion exceeds 80%</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At 87.6% the lender will require LMI of approximately $19,400 or a further $59,000 cash contribution. Resolve this before signing the build contract, not at completion.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 overruns the 44-week programme</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Each additional month adds approximately $3,500 of capitalised interest and $2,250 of rent forgone. Liquidated damages of $180 a week recover only part.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Cost overrun on provisional sums</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$23,800 of provisional sums and prime cost items are not fixed. Any overrun is a cash contribution, not a further drawdown, unless the facility is increased.</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Registration delay pushes out the fixed-price period</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build price is fixed for 180 days. If registration slips beyond that the builder may reprice, and the facility was sized on the current price.</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Builder insolvency</w:t>
            </w:r>
          </w:p>
        </w:tc>
        <w:tc>
          <w:tcPr>
            <w:tcW w:type="dxa" w:w="1413"/>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Home warranty insurance covers completion but not delay. Confirm the builder's financial standing before the first drawdown.</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Next steps</w:t>
      </w:r>
    </w:p>
    <w:p>
      <w:pPr>
        <w:keepNext/>
        <w:keepLines/>
        <w:pageBreakBefore w:val="0"/>
        <w:widowControl w:val="1"/>
        <w:spacing w:before="100" w:after="0"/>
      </w:pPr>
      <w:r>
        <w:rPr>
          <w:rFonts w:ascii="Calibri" w:hAnsi="Calibri" w:cs="Calibri" w:eastAsia="Calibri"/>
          <w:b w:val="0"/>
          <w:i w:val="0"/>
          <w:color w:val="4C5B73"/>
          <w:sz w:val="15"/>
          <w:u w:val="none"/>
        </w:rPr>
        <w:t>From approval to first drawdown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Resolve LVR</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Address the completion-LVR shortfall before signing the build contract.</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Approve</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Formal approval issued on both facilities.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Settle land</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Land facility drawn; title transferred.</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Satisfy CPs</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Provide the conditions precedent listed in section six.</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First claim</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Deposit drawdown released to the builder.</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Construction Finance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Finance Report</dc:title>
  <dc:subject>Funding structure for a construction or renovation project: facility structure, drawdown schedule, interest during construction and completion position.</dc:subject>
  <dc:creator>Aurixa Systems</dc:creator>
  <cp:keywords>Construction finance, Progress payments, Build funding,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