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7824" w:hRule="atLeast"/>
        </w:trPr>
        <w:tc>
          <w:tcPr>
            <w:tcW w:type="dxa" w:w="10091"/>
            <w:tcBorders>
              <w:top w:val="single" w:sz="10" w:space="0" w:color="1D6FE0"/>
              <w:left w:val="nil"/>
              <w:bottom w:val="nil"/>
              <w:right w:val="nil"/>
            </w:tcBorders>
            <w:shd w:val="clear" w:color="auto" w:fill="0C2340"/>
            <w:tcMar>
              <w:top w:w="380" w:type="dxa"/>
              <w:left w:w="320" w:type="dxa"/>
              <w:bottom w:w="380" w:type="dxa"/>
              <w:right w:w="320" w:type="dxa"/>
            </w:tcMar>
            <w:vAlign w:val="center"/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515"/>
            </w:tblGrid>
            <w:tr>
              <w:trPr>
                <w:cantSplit/>
              </w:trPr>
              <w:tc>
                <w:tcPr>
                  <w:tcW w:type="dxa" w:w="3515"/>
                  <w:tcBorders>
                    <w:top w:val="dashed" w:sz="8" w:space="0" w:color="1D6FE0"/>
                    <w:left w:val="dashed" w:sz="8" w:space="0" w:color="1D6FE0"/>
                    <w:bottom w:val="dashed" w:sz="8" w:space="0" w:color="1D6FE0"/>
                    <w:right w:val="dashed" w:sz="8" w:space="0" w:color="1D6FE0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32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56"/>
                <w:sz w:val="16"/>
                <w:u w:val="none"/>
              </w:rPr>
              <w:t>Residual land value &amp; profitability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48"/>
                <w:sz w:val="19"/>
                <w:u w:val="none"/>
              </w:rPr>
              <w:t>Aurixa Systems</w:t>
            </w:r>
          </w:p>
          <w:p>
            <w:pPr>
              <w:keepNext/>
              <w:keepLines/>
              <w:pageBreakBefore w:val="0"/>
              <w:widowControl w:val="1"/>
              <w:spacing w:before="0" w:after="160" w:line="230" w:lineRule="auto"/>
            </w:pPr>
            <w:r>
              <w:rPr>
                <w:rFonts w:ascii="Calibri" w:hAnsi="Calibri" w:cs="Calibri" w:eastAsia="Calibri"/>
                <w:b/>
                <w:i w:val="0"/>
                <w:color w:val="FFFFFF"/>
                <w:spacing w:val="-4"/>
                <w:sz w:val="60"/>
                <w:u w:val="none"/>
              </w:rPr>
              <w:t>{{report.title}}</w:t>
            </w:r>
          </w:p>
          <w:tbl>
            <w:tblPr>
              <w:tblW w:type="auto" w:w="0"/>
              <w:jc w:val="left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</w:tblGrid>
            <w:tr>
              <w:trPr>
                <w:cantSplit/>
              </w:trPr>
              <w:tc>
                <w:tcPr>
                  <w:tcW w:type="dxa" w:w="1701"/>
                  <w:shd w:val="clear" w:color="auto" w:fill="1D6FE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48" w:lineRule="exact"/>
                  </w:pPr>
                  <w:r>
                    <w:rPr>
                      <w:sz w:val="2"/>
                    </w:rPr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22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22"/>
                <w:u w:val="none"/>
              </w:rPr>
              <w:t>{{project.identity}}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80" w:lineRule="exact"/>
            </w:pPr>
            <w:r>
              <w:rPr>
                <w:sz w:val="2"/>
              </w:rPr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72"/>
              <w:gridCol w:w="2872"/>
              <w:gridCol w:w="2872"/>
            </w:tblGrid>
            <w:tr>
              <w:trPr>
                <w:cantSplit/>
              </w:trPr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24 UNITS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RESIDUAL LV</w:t>
                  </w:r>
                </w:p>
              </w:tc>
              <w:tc>
                <w:tcPr>
                  <w:tcW w:type="dxa" w:w="2872"/>
                  <w:tcBorders>
                    <w:top w:val="single" w:sz="4" w:space="0" w:color="1D6FE0"/>
                    <w:left w:val="single" w:sz="4" w:space="0" w:color="1D6FE0"/>
                    <w:bottom w:val="single" w:sz="4" w:space="0" w:color="1D6FE0"/>
                    <w:right w:val="single" w:sz="4" w:space="0" w:color="1D6FE0"/>
                  </w:tcBorders>
                  <w:shd w:val="clear" w:color="auto" w:fill="16375C"/>
                  <w:tcMar>
                    <w:top w:w="90" w:type="dxa"/>
                    <w:left w:w="70" w:type="dxa"/>
                    <w:bottom w:w="90" w:type="dxa"/>
                    <w:right w:w="7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D6FE0"/>
                      <w:spacing w:val="28"/>
                      <w:sz w:val="14"/>
                      <w:u w:val="none"/>
                    </w:rPr>
                    <w:t>STRESS-TESTED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912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Client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{{client.reference}}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 of issue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Document reference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{{document.reference}}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Version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{{document.version}}</w:t>
            </w:r>
          </w:p>
        </w:tc>
      </w:tr>
    </w:tbl>
    <w:p>
      <w:pPr>
        <w:keepNext/>
        <w:keepLines/>
        <w:pageBreakBefore w:val="1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Contents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Executive summary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02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Feasibility metrics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03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Assumptions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04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Scheme &amp; yield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05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Revenue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06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Costs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07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Funding &amp; cash flow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08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Programme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09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Sensitivity analysis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10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Risks &amp; mitigations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11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Conclusion</w:t>
      </w:r>
    </w:p>
    <w:p>
      <w:pPr>
        <w:keepNext w:val="0"/>
        <w:keepLines/>
        <w:pageBreakBefore w:val="0"/>
        <w:widowControl w:val="1"/>
        <w:pBdr>
          <w:bottom w:val="single" w:sz="4" w:space="3" w:color="DCE3ED"/>
        </w:pBdr>
        <w:spacing w:before="0" w:after="120" w:line="288" w:lineRule="auto"/>
      </w:pPr>
      <w:r>
        <w:rPr>
          <w:rFonts w:ascii="Consolas" w:hAnsi="Consolas" w:cs="Consolas" w:eastAsia="Consolas"/>
          <w:b/>
          <w:i w:val="0"/>
          <w:color w:val="1D6FE0"/>
          <w:sz w:val="19"/>
          <w:u w:val="none"/>
        </w:rPr>
        <w:t xml:space="preserve">A    </w:t>
      </w:r>
      <w:r>
        <w:rPr>
          <w:rFonts w:ascii="Calibri" w:hAnsi="Calibri" w:cs="Calibri" w:eastAsia="Calibri"/>
          <w:b w:val="0"/>
          <w:i w:val="0"/>
          <w:color w:val="10192A"/>
          <w:sz w:val="19"/>
          <w:u w:val="none"/>
        </w:rPr>
        <w:t>Full model</w:t>
      </w:r>
    </w:p>
    <w:p>
      <w:pPr>
        <w:keepNext/>
        <w:keepLines/>
        <w:pageBreakBefore w:val="1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Executive summary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Does the scheme work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Executive summary</w:t>
            </w:r>
          </w:p>
          <w:p>
            <w:pPr>
              <w:keepNext/>
              <w:keepLines/>
              <w:pageBreakBefore w:val="0"/>
              <w:widowControl w:val="1"/>
              <w:spacing w:before="0" w:after="12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3"/>
                <w:u w:val="none"/>
              </w:rPr>
              <w:t>{{report.headline}}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{{report.summary}}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6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What this means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0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07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 xml:space="preserve">›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>{{report.takeaways[2]}}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02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Feasibility metrics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The headline outcome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RESIDUAL LAND VALUE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DEVELOPMENT PROFIT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MARGIN ON COST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C2340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4"/>
                <w:u w:val="none"/>
              </w:rPr>
              <w:t>PROJECT IRR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{{feasibility.residual}}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20% hurdle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{{feasibility.profit}}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At asking land price</w:t>
            </w:r>
          </w:p>
        </w:tc>
        <w:tc>
          <w:tcPr>
            <w:tcW w:type="dxa" w:w="2523"/>
            <w:tcBorders>
              <w:bottom w:val="single" w:sz="8" w:space="0" w:color="1D6FE0"/>
              <w:right w:val="single" w:sz="24" w:space="0" w:color="FFFFFF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{{feasibility.margin}}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Hurdle 20%</w:t>
            </w:r>
          </w:p>
        </w:tc>
        <w:tc>
          <w:tcPr>
            <w:tcW w:type="dxa" w:w="2523"/>
            <w:tcBorders>
              <w:bottom w:val="single" w:sz="8" w:space="0" w:color="1D6FE0"/>
              <w:right w:val="nil"/>
            </w:tcBorders>
            <w:shd w:val="clear" w:color="auto" w:fill="F2F7FE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32"/>
                <w:u w:val="none"/>
              </w:rPr>
              <w:t>{{feasibility.irr}}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Ungeared, 30 months</w:t>
            </w: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03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Assumptions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Every input, with its basis and date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D6FE0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Feasibility assumptions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929"/>
              <w:gridCol w:w="2893"/>
              <w:gridCol w:w="1929"/>
              <w:gridCol w:w="2893"/>
            </w:tblGrid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Land price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{{assumptions.land}}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Scheme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{{assumptions.scheme}}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Saleable area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{{assumptions.saleable}}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Construction rate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{{assumptions.buildRate}}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Professional fees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{{assumptions.profFees}}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Statutory contributions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{{assumptions.contributions}}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Contingency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{{assumptions.contingency}}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Selling costs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{{assumptions.sellingCosts}}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Finance rate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{{assumptions.financeRate}}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LVR / LCR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{{assumptions.lvr}}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Programme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{{assumptions.programme}}</w:t>
                  </w:r>
                </w:p>
              </w:tc>
              <w:tc>
                <w:tcPr>
                  <w:tcW w:type="dxa" w:w="1929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Hurdle</w:t>
                  </w:r>
                </w:p>
              </w:tc>
              <w:tc>
                <w:tcPr>
                  <w:tcW w:type="dxa" w:w="2893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88" w:type="dxa"/>
                    <w:left w:w="123" w:type="dxa"/>
                    <w:bottom w:w="88" w:type="dxa"/>
                    <w:right w:w="123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{{assumptions.hurdle}}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Construction rate is from a quantity surveyor's elemental estimate dated 18 July 2026. Contributions are from the council's current contributions plan and are subject to indexation at the date of the construction certificate.</w:t>
            </w: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04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Scheme &amp; yield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is being built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Product mix and yield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Product mix and yield"/>
        <w:tblDescription w:val="Columns: Product, Count, Avg area m², Total area m², Rate $/m², Avg price, Gross realisation"/>
      </w:tblPr>
      <w:tblGrid>
        <w:gridCol w:w="1743"/>
        <w:gridCol w:w="917"/>
        <w:gridCol w:w="1284"/>
        <w:gridCol w:w="1376"/>
        <w:gridCol w:w="1284"/>
        <w:gridCol w:w="1560"/>
        <w:gridCol w:w="1927"/>
      </w:tblGrid>
      <w:tr>
        <w:trPr>
          <w:cantSplit/>
          <w:trHeight w:val="420" w:hRule="atLeast"/>
          <w:tblHeader/>
        </w:trPr>
        <w:tc>
          <w:tcPr>
            <w:tcW w:type="dxa" w:w="17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Product</w:t>
            </w:r>
          </w:p>
        </w:tc>
        <w:tc>
          <w:tcPr>
            <w:tcW w:type="dxa" w:w="91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Count</w:t>
            </w:r>
          </w:p>
        </w:tc>
        <w:tc>
          <w:tcPr>
            <w:tcW w:type="dxa" w:w="12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Avg area m²</w:t>
            </w:r>
          </w:p>
        </w:tc>
        <w:tc>
          <w:tcPr>
            <w:tcW w:type="dxa" w:w="1376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Total area m²</w:t>
            </w:r>
          </w:p>
        </w:tc>
        <w:tc>
          <w:tcPr>
            <w:tcW w:type="dxa" w:w="128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 $/m²</w:t>
            </w:r>
          </w:p>
        </w:tc>
        <w:tc>
          <w:tcPr>
            <w:tcW w:type="dxa" w:w="156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Avg price</w:t>
            </w:r>
          </w:p>
        </w:tc>
        <w:tc>
          <w:tcPr>
            <w:tcW w:type="dxa" w:w="192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Gross realisation</w:t>
            </w:r>
          </w:p>
        </w:tc>
      </w:tr>
      <w:tr>
        <w:trPr>
          <w:cantSplit/>
          <w:trHeight w:val="397" w:hRule="atLeast"/>
        </w:trPr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{{product}}</w:t>
            </w:r>
          </w:p>
        </w:tc>
        <w:tc>
          <w:tcPr>
            <w:tcW w:type="dxa" w:w="91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{{avgArea}}</w:t>
            </w:r>
          </w:p>
        </w:tc>
        <w:tc>
          <w:tcPr>
            <w:tcW w:type="dxa" w:w="137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{{totalArea}}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6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{{avgPrice}}</w:t>
            </w:r>
          </w:p>
        </w:tc>
        <w:tc>
          <w:tcPr>
            <w:tcW w:type="dxa" w:w="192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</w:tr>
      <w:tr>
        <w:trPr>
          <w:cantSplit/>
          <w:trHeight w:val="397" w:hRule="atLeast"/>
        </w:trPr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{{product}}</w:t>
            </w:r>
          </w:p>
        </w:tc>
        <w:tc>
          <w:tcPr>
            <w:tcW w:type="dxa" w:w="91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{{avgArea}}</w:t>
            </w:r>
          </w:p>
        </w:tc>
        <w:tc>
          <w:tcPr>
            <w:tcW w:type="dxa" w:w="137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{{totalArea}}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6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{{avgPrice}}</w:t>
            </w:r>
          </w:p>
        </w:tc>
        <w:tc>
          <w:tcPr>
            <w:tcW w:type="dxa" w:w="192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</w:tr>
      <w:tr>
        <w:trPr>
          <w:cantSplit/>
          <w:trHeight w:val="397" w:hRule="atLeast"/>
        </w:trPr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{{product}}</w:t>
            </w:r>
          </w:p>
        </w:tc>
        <w:tc>
          <w:tcPr>
            <w:tcW w:type="dxa" w:w="91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{{avgArea}}</w:t>
            </w:r>
          </w:p>
        </w:tc>
        <w:tc>
          <w:tcPr>
            <w:tcW w:type="dxa" w:w="137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{{totalArea}}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6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{{avgPrice}}</w:t>
            </w:r>
          </w:p>
        </w:tc>
        <w:tc>
          <w:tcPr>
            <w:tcW w:type="dxa" w:w="192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</w:tr>
      <w:tr>
        <w:trPr>
          <w:cantSplit/>
          <w:trHeight w:val="397" w:hRule="atLeast"/>
        </w:trPr>
        <w:tc>
          <w:tcPr>
            <w:tcW w:type="dxa" w:w="174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{{product}}</w:t>
            </w:r>
          </w:p>
        </w:tc>
        <w:tc>
          <w:tcPr>
            <w:tcW w:type="dxa" w:w="91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{{count}}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{{avgArea}}</w:t>
            </w:r>
          </w:p>
        </w:tc>
        <w:tc>
          <w:tcPr>
            <w:tcW w:type="dxa" w:w="1376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{{totalArea}}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56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{{avgPrice}}</w:t>
            </w:r>
          </w:p>
        </w:tc>
        <w:tc>
          <w:tcPr>
            <w:tcW w:type="dxa" w:w="1927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{{gross}}</w:t>
            </w:r>
          </w:p>
        </w:tc>
      </w:tr>
      <w:tr>
        <w:trPr>
          <w:cantSplit/>
          <w:trHeight w:val="397" w:hRule="atLeast"/>
        </w:trPr>
        <w:tc>
          <w:tcPr>
            <w:tcW w:type="dxa" w:w="174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</w:t>
            </w:r>
          </w:p>
        </w:tc>
        <w:tc>
          <w:tcPr>
            <w:tcW w:type="dxa" w:w="91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24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91</w:t>
            </w:r>
          </w:p>
        </w:tc>
        <w:tc>
          <w:tcPr>
            <w:tcW w:type="dxa" w:w="1376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2,184</w:t>
            </w:r>
          </w:p>
        </w:tc>
        <w:tc>
          <w:tcPr>
            <w:tcW w:type="dxa" w:w="1284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$10,440</w:t>
            </w:r>
          </w:p>
        </w:tc>
        <w:tc>
          <w:tcPr>
            <w:tcW w:type="dxa" w:w="1560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927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$22,985,200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Rates are from comparable off-the-plan sales in the precinct over the last nine months, adjusted for level, aspect and completion date.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05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Revenue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Gross realisation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Revenue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evenue"/>
        <w:tblDescription w:val="Columns: Item, Basis, Amount"/>
      </w:tblPr>
      <w:tblGrid>
        <w:gridCol w:w="3515"/>
        <w:gridCol w:w="3742"/>
        <w:gridCol w:w="2835"/>
      </w:tblGrid>
      <w:tr>
        <w:trPr>
          <w:cantSplit/>
          <w:trHeight w:val="420" w:hRule="atLeast"/>
          <w:tblHeader/>
        </w:trPr>
        <w:tc>
          <w:tcPr>
            <w:tcW w:type="dxa" w:w="35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37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74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74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74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74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742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351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Net realisation</w:t>
            </w:r>
          </w:p>
        </w:tc>
        <w:tc>
          <w:tcPr>
            <w:tcW w:type="dxa" w:w="3742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$21,551,200</w:t>
            </w:r>
          </w:p>
        </w:tc>
      </w:tr>
    </w:tbl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06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Costs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Every line, grouped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Development costs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evelopment costs"/>
        <w:tblDescription w:val="Columns: Group, Item, Basis, Amount"/>
      </w:tblPr>
      <w:tblGrid>
        <w:gridCol w:w="1928"/>
        <w:gridCol w:w="3288"/>
        <w:gridCol w:w="2835"/>
        <w:gridCol w:w="2041"/>
      </w:tblGrid>
      <w:tr>
        <w:trPr>
          <w:cantSplit/>
          <w:trHeight w:val="420" w:hRule="atLeast"/>
          <w:tblHeader/>
        </w:trPr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Group</w:t>
            </w:r>
          </w:p>
        </w:tc>
        <w:tc>
          <w:tcPr>
            <w:tcW w:type="dxa" w:w="328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283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204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{{group}}</w:t>
            </w: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92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3288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Total development cost</w:t>
            </w:r>
          </w:p>
        </w:tc>
        <w:tc>
          <w:tcPr>
            <w:tcW w:type="dxa" w:w="283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  <w:tc>
          <w:tcPr>
            <w:tcW w:type="dxa" w:w="204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$21,393,472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Construction is 57% of total cost, which is why the sensitivity in section nine is dominated by the build rate.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07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Funding &amp; cash flow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Drawdown against programme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061" w:hRule="atLeast"/>
        </w:trPr>
        <w:tc>
          <w:tcPr>
            <w:tcW w:type="dxa" w:w="1009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F7F9FC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8"/>
                <w:u w:val="none"/>
              </w:rPr>
              <w:t>Debt drawdown and repayment against programme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36"/>
                <w:sz w:val="15"/>
                <w:u w:val="none"/>
              </w:rPr>
              <w:t>[  AREA CHART  ]</w:t>
            </w:r>
          </w:p>
          <w:p>
            <w:pPr>
              <w:keepNext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8493A8"/>
                <w:sz w:val="14"/>
                <w:u w:val="none"/>
              </w:rPr>
              <w:t>{{funding.series}}</w:t>
            </w: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30 months, peak debt $11.4m   ·   Source: Aurixa feasibility model   ·   Alt text: Debt peaks at $11.4m in month 24 and is repaid from settlements between months 27 and 30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Funding structure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unding structure"/>
        <w:tblDescription w:val="Columns: Facility, Limit, Rate, Drawn at peak, Purpose"/>
      </w:tblPr>
      <w:tblGrid>
        <w:gridCol w:w="2440"/>
        <w:gridCol w:w="1885"/>
        <w:gridCol w:w="1331"/>
        <w:gridCol w:w="1885"/>
        <w:gridCol w:w="2551"/>
      </w:tblGrid>
      <w:tr>
        <w:trPr>
          <w:cantSplit/>
          <w:trHeight w:val="420" w:hRule="atLeast"/>
          <w:tblHeader/>
        </w:trPr>
        <w:tc>
          <w:tcPr>
            <w:tcW w:type="dxa" w:w="244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Facility</w:t>
            </w:r>
          </w:p>
        </w:tc>
        <w:tc>
          <w:tcPr>
            <w:tcW w:type="dxa" w:w="188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Limit</w:t>
            </w:r>
          </w:p>
        </w:tc>
        <w:tc>
          <w:tcPr>
            <w:tcW w:type="dxa" w:w="133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</w:t>
            </w:r>
          </w:p>
        </w:tc>
        <w:tc>
          <w:tcPr>
            <w:tcW w:type="dxa" w:w="1885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Drawn at peak</w:t>
            </w:r>
          </w:p>
        </w:tc>
        <w:tc>
          <w:tcPr>
            <w:tcW w:type="dxa" w:w="255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Purpose</w:t>
            </w:r>
          </w:p>
        </w:tc>
      </w:tr>
      <w:tr>
        <w:trPr>
          <w:cantSplit/>
          <w:trHeight w:val="397" w:hRule="atLeast"/>
        </w:trPr>
        <w:tc>
          <w:tcPr>
            <w:tcW w:type="dxa" w:w="24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{{facility}}</w:t>
            </w:r>
          </w:p>
        </w:tc>
        <w:tc>
          <w:tcPr>
            <w:tcW w:type="dxa" w:w="188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33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88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{{drawn}}</w:t>
            </w:r>
          </w:p>
        </w:tc>
        <w:tc>
          <w:tcPr>
            <w:tcW w:type="dxa" w:w="25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{{purpose}}</w:t>
            </w:r>
          </w:p>
        </w:tc>
      </w:tr>
      <w:tr>
        <w:trPr>
          <w:cantSplit/>
          <w:trHeight w:val="397" w:hRule="atLeast"/>
        </w:trPr>
        <w:tc>
          <w:tcPr>
            <w:tcW w:type="dxa" w:w="2440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{{facility}}</w:t>
            </w:r>
          </w:p>
        </w:tc>
        <w:tc>
          <w:tcPr>
            <w:tcW w:type="dxa" w:w="188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{{limit}}</w:t>
            </w:r>
          </w:p>
        </w:tc>
        <w:tc>
          <w:tcPr>
            <w:tcW w:type="dxa" w:w="133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885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{{drawn}}</w:t>
            </w:r>
          </w:p>
        </w:tc>
        <w:tc>
          <w:tcPr>
            <w:tcW w:type="dxa" w:w="2551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{{purpose}}</w:t>
            </w:r>
          </w:p>
        </w:tc>
      </w:tr>
      <w:tr>
        <w:trPr>
          <w:cantSplit/>
          <w:trHeight w:val="397" w:hRule="atLeast"/>
        </w:trPr>
        <w:tc>
          <w:tcPr>
            <w:tcW w:type="dxa" w:w="244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>Peak debt</w:t>
            </w:r>
          </w:p>
        </w:tc>
        <w:tc>
          <w:tcPr>
            <w:tcW w:type="dxa" w:w="188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$12,670,000</w:t>
            </w:r>
          </w:p>
        </w:tc>
        <w:tc>
          <w:tcPr>
            <w:tcW w:type="dxa" w:w="133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</w:p>
        </w:tc>
        <w:tc>
          <w:tcPr>
            <w:tcW w:type="dxa" w:w="1885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/>
                <w:i w:val="0"/>
                <w:color w:val="0C2340"/>
                <w:sz w:val="17"/>
                <w:u w:val="none"/>
              </w:rPr>
              <w:t>$11,400,000</w:t>
            </w:r>
          </w:p>
        </w:tc>
        <w:tc>
          <w:tcPr>
            <w:tcW w:type="dxa" w:w="2551"/>
            <w:tcBorders>
              <w:top w:val="nil"/>
              <w:left w:val="single" w:sz="4" w:space="0" w:color="DCE3ED"/>
              <w:bottom w:val="single" w:sz="8" w:space="0" w:color="1D6FE0"/>
              <w:right w:val="nil"/>
            </w:tcBorders>
            <w:shd w:val="clear" w:color="auto" w:fill="DCE8FB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Peak debt of $11.4m is 49.6% of gross realisation and 53.3% of total development cost, both inside typical senior-debt parameters.</w:t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08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Programme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Acquisition to final settlement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Development programme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D6FE0"/>
              <w:bottom w:val="nil"/>
              <w:right w:val="nil"/>
            </w:tcBorders>
            <w:shd w:val="clear" w:color="auto" w:fill="DCE8FB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09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Sensitivity analysis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The three inputs that matter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24"/>
          <w:sz w:val="15"/>
          <w:u w:val="none"/>
        </w:rPr>
        <w:t>Sensitivity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Sensitivity"/>
        <w:tblDescription w:val="Compares: Base, Build +5%, Revenue −5%, Programme +6 mths, Upside"/>
      </w:tblPr>
      <w:tblGrid>
        <w:gridCol w:w="2624"/>
        <w:gridCol w:w="1494"/>
        <w:gridCol w:w="1494"/>
        <w:gridCol w:w="1494"/>
        <w:gridCol w:w="1494"/>
        <w:gridCol w:w="1494"/>
      </w:tblGrid>
      <w:tr>
        <w:trPr>
          <w:cantSplit/>
          <w:trHeight w:val="510" w:hRule="atLeast"/>
          <w:tblHeader/>
        </w:trPr>
        <w:tc>
          <w:tcPr>
            <w:tcW w:type="dxa" w:w="262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Base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Build +5%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Revenue −5%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single" w:sz="16" w:space="0" w:color="FFFFFF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Programme +6 mths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1D6FE0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6"/>
                <w:u w:val="none"/>
              </w:rPr>
              <w:t>Upside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Total cost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$21.39m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$22.03m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$21.39m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$21.65m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$21.39m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Net realisation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$21.55m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$21.55m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$20.47m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$21.55m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$22.63m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Development profit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$3.38m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$2.74m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$2.30m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$3.12m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$4.46m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Margin on cost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17.4%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14.1%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11.8%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16.0%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22.9%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Against 20% hurdle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Below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Below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Below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Below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Above</w:t>
            </w:r>
          </w:p>
        </w:tc>
      </w:tr>
      <w:tr>
        <w:trPr>
          <w:cantSplit/>
        </w:trPr>
        <w:tc>
          <w:tcPr>
            <w:tcW w:type="dxa" w:w="262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EDF1F7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Residual land value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$3.72m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$3.12m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$2.68m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$3.48m</w:t>
            </w:r>
          </w:p>
        </w:tc>
        <w:tc>
          <w:tcPr>
            <w:tcW w:type="dxa" w:w="1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2F7FE"/>
            <w:tcMar>
              <w:top w:w="88" w:type="dxa"/>
              <w:left w:w="123" w:type="dxa"/>
              <w:bottom w:w="88" w:type="dxa"/>
              <w:right w:w="123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$4.74m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10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Risks &amp; mitigations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What could break it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B3261E"/>
          <w:spacing w:val="24"/>
          <w:sz w:val="15"/>
          <w:u w:val="none"/>
        </w:rPr>
        <w:t>Risks &amp; mitigations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Risks &amp; mitigations"/>
        <w:tblDescription w:val="Columns: Risk, Severity, Mitigation"/>
      </w:tblPr>
      <w:tblGrid>
        <w:gridCol w:w="4037"/>
        <w:gridCol w:w="1413"/>
        <w:gridCol w:w="4642"/>
      </w:tblGrid>
      <w:tr>
        <w:trPr>
          <w:cantSplit/>
          <w:tblHeader/>
        </w:trPr>
        <w:tc>
          <w:tcPr>
            <w:tcW w:type="dxa" w:w="4037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Risk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Severity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2"/>
                <w:sz w:val="15"/>
                <w:u w:val="none"/>
              </w:rPr>
              <w:t>Mitigation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  <w:tr>
        <w:trPr>
          <w:cantSplit/>
        </w:trPr>
        <w:tc>
          <w:tcPr>
            <w:tcW w:type="dxa" w:w="4037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{{risk.description}}</w:t>
            </w:r>
          </w:p>
        </w:tc>
        <w:tc>
          <w:tcPr>
            <w:tcW w:type="dxa" w:w="1413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BF1E0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B26A00"/>
                <w:sz w:val="17"/>
                <w:u w:val="none"/>
              </w:rPr>
              <w:t>▲  MEDIUM</w:t>
            </w:r>
          </w:p>
        </w:tc>
        <w:tc>
          <w:tcPr>
            <w:tcW w:type="dxa" w:w="4642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{{risk.mitigation}}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olor w:val="1D6FE0"/>
          <w:sz w:val="25"/>
          <w:u w:val="none"/>
        </w:rPr>
        <w:t xml:space="preserve">11  </w:t>
      </w: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Conclusion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Proceed, revise or abandon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D6FE0"/>
              <w:left w:val="single" w:sz="26" w:space="0" w:color="1D6FE0"/>
              <w:bottom w:val="single" w:sz="6" w:space="0" w:color="1D6FE0"/>
              <w:right w:val="single" w:sz="6" w:space="0" w:color="1D6FE0"/>
            </w:tcBorders>
            <w:shd w:val="clear" w:color="auto" w:fill="F2F7FE"/>
            <w:tcMar>
              <w:top w:w="158" w:type="dxa"/>
              <w:left w:w="184" w:type="dxa"/>
              <w:bottom w:w="158" w:type="dxa"/>
              <w:right w:w="184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D6FE0"/>
                <w:spacing w:val="24"/>
                <w:sz w:val="15"/>
                <w:u w:val="none"/>
              </w:rPr>
              <w:t>CONCLUSION</w:t>
            </w: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4"/>
                <w:u w:val="none"/>
              </w:rPr>
              <w:t xml:space="preserve">     CONFIDENCE: {{REPORT.CONFIDENCE}}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22"/>
                <w:u w:val="none"/>
              </w:rPr>
              <w:t>{{report.conclusion}}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07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{{report.conclusionRationale}}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40" w:lineRule="exact"/>
            </w:pPr>
            <w:r>
              <w:rPr>
                <w:sz w:val="2"/>
              </w:rPr>
            </w:r>
          </w:p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4"/>
                <w:sz w:val="15"/>
                <w:u w:val="none"/>
              </w:rPr>
              <w:t>Next steps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1.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{{report.conclusionActions[0]}}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2.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{{report.conclusionActions[1]}}</w:t>
            </w:r>
          </w:p>
          <w:p>
            <w:pPr>
              <w:keepNext w:val="0"/>
              <w:keepLines/>
              <w:pageBreakBefore w:val="0"/>
              <w:widowControl w:val="1"/>
              <w:tabs>
                <w:tab w:val="left" w:pos="320"/>
              </w:tabs>
              <w:spacing w:before="80" w:after="0" w:line="307" w:lineRule="auto"/>
              <w:ind w:left="320" w:hanging="32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9"/>
                <w:u w:val="none"/>
              </w:rPr>
              <w:t>3.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9"/>
                <w:u w:val="none"/>
              </w:rPr>
              <w:tab/>
              <w:t>{{report.conclusionActions[2]}}</w:t>
            </w:r>
          </w:p>
        </w:tc>
      </w:tr>
    </w:tbl>
    <w:p>
      <w:pPr>
        <w:keepNext/>
        <w:keepLines/>
        <w:pageBreakBefore w:val="1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1D6FE0"/>
          <w:spacing w:val="48"/>
          <w:sz w:val="15"/>
          <w:u w:val="none"/>
        </w:rPr>
        <w:t>APPENDIX A</w:t>
      </w:r>
    </w:p>
    <w:p>
      <w:pPr>
        <w:keepNext/>
        <w:keepLines/>
        <w:pageBreakBefore w:val="0"/>
        <w:widowControl w:val="1"/>
        <w:spacing w:before="0" w:after="120"/>
      </w:pPr>
      <w:r>
        <w:rPr>
          <w:rFonts w:ascii="Calibri" w:hAnsi="Calibri" w:cs="Calibri" w:eastAsia="Calibri"/>
          <w:b/>
          <w:i w:val="0"/>
          <w:color w:val="0C2340"/>
          <w:sz w:val="34"/>
          <w:u w:val="none"/>
        </w:rPr>
        <w:t>Full model</w:t>
      </w:r>
    </w:p>
    <w:p>
      <w:pPr>
        <w:keepNext w:val="0"/>
        <w:keepLines/>
        <w:pageBreakBefore w:val="0"/>
        <w:widowControl w:val="1"/>
        <w:pBdr>
          <w:bottom w:val="single" w:sz="10" w:space="1" w:color="1D6FE0"/>
        </w:pBdr>
        <w:spacing w:before="0" w:after="12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9"/>
          <w:u w:val="none"/>
        </w:rPr>
        <w:t>Line-level model output supporting the summaries above.</w:t>
      </w:r>
    </w:p>
    <w:p>
      <w:pPr>
        <w:keepNext w:val="0"/>
        <w:keepLines/>
        <w:pageBreakBefore w:val="0"/>
        <w:widowControl w:val="1"/>
        <w:spacing w:before="0" w:after="0" w:line="96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Data table"/>
        <w:tblDescription w:val="Columns: Line, Description, Quantity, Rate, Amount"/>
      </w:tblPr>
      <w:tblGrid>
        <w:gridCol w:w="1121"/>
        <w:gridCol w:w="4149"/>
        <w:gridCol w:w="1458"/>
        <w:gridCol w:w="1570"/>
        <w:gridCol w:w="1794"/>
      </w:tblGrid>
      <w:tr>
        <w:trPr>
          <w:cantSplit/>
          <w:trHeight w:val="420" w:hRule="atLeast"/>
          <w:tblHeader/>
        </w:trPr>
        <w:tc>
          <w:tcPr>
            <w:tcW w:type="dxa" w:w="1121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Line</w:t>
            </w:r>
          </w:p>
        </w:tc>
        <w:tc>
          <w:tcPr>
            <w:tcW w:type="dxa" w:w="4149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Description</w:t>
            </w:r>
          </w:p>
        </w:tc>
        <w:tc>
          <w:tcPr>
            <w:tcW w:type="dxa" w:w="1458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Quantity</w:t>
            </w:r>
          </w:p>
        </w:tc>
        <w:tc>
          <w:tcPr>
            <w:tcW w:type="dxa" w:w="1570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Rate</w:t>
            </w:r>
          </w:p>
        </w:tc>
        <w:tc>
          <w:tcPr>
            <w:tcW w:type="dxa" w:w="1794"/>
            <w:tcBorders>
              <w:top w:val="nil"/>
              <w:left w:val="nil"/>
              <w:bottom w:val="single" w:sz="8" w:space="0" w:color="1D6FE0"/>
              <w:right w:val="nil"/>
            </w:tcBorders>
            <w:shd w:val="clear" w:color="auto" w:fill="0C2340"/>
            <w:tcMar>
              <w:top w:w="88" w:type="dxa"/>
              <w:left w:w="123" w:type="dxa"/>
              <w:bottom w:w="88" w:type="dxa"/>
              <w:right w:w="123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FFFFF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  <w:tr>
        <w:trPr>
          <w:cantSplit/>
          <w:trHeight w:val="397" w:hRule="atLeast"/>
        </w:trPr>
        <w:tc>
          <w:tcPr>
            <w:tcW w:type="dxa" w:w="1121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{{line}}</w:t>
            </w:r>
          </w:p>
        </w:tc>
        <w:tc>
          <w:tcPr>
            <w:tcW w:type="dxa" w:w="4149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{{description}}</w:t>
            </w:r>
          </w:p>
        </w:tc>
        <w:tc>
          <w:tcPr>
            <w:tcW w:type="dxa" w:w="1458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{{qty}}</w:t>
            </w:r>
          </w:p>
        </w:tc>
        <w:tc>
          <w:tcPr>
            <w:tcW w:type="dxa" w:w="1570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{{rate}}</w:t>
            </w:r>
          </w:p>
        </w:tc>
        <w:tc>
          <w:tcPr>
            <w:tcW w:type="dxa" w:w="1794"/>
            <w:tcBorders>
              <w:top w:val="nil"/>
              <w:left w:val="single" w:sz="4" w:space="0" w:color="DCE3ED"/>
              <w:bottom w:val="single" w:sz="4" w:space="0" w:color="DCE3ED"/>
              <w:right w:val="nil"/>
            </w:tcBorders>
            <w:shd w:val="clear" w:color="auto" w:fill="F7F9FC"/>
            <w:tcMar>
              <w:top w:w="88" w:type="dxa"/>
              <w:left w:w="123" w:type="dxa"/>
              <w:bottom w:w="88" w:type="dxa"/>
              <w:right w:w="123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Consolas" w:hAnsi="Consolas" w:cs="Consolas" w:eastAsia="Consolas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</w:tr>
    </w:tbl>
    <w:p>
      <w:pPr>
        <w:keepNext/>
        <w:keepLines/>
        <w:pageBreakBefore w:val="1"/>
        <w:widowControl w:val="1"/>
        <w:pBdr>
          <w:bottom w:val="single" w:sz="10" w:space="4" w:color="1D6FE0"/>
        </w:pBdr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C2340"/>
          <w:spacing w:val="14"/>
          <w:sz w:val="25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100" w:after="0"/>
      </w:pPr>
      <w:r>
        <w:rPr>
          <w:rFonts w:ascii="Calibri" w:hAnsi="Calibri" w:cs="Calibri" w:eastAsia="Calibri"/>
          <w:b w:val="0"/>
          <w:i w:val="0"/>
          <w:color w:val="4C5B73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Calibri" w:hAnsi="Calibri" w:cs="Calibri" w:eastAsia="Calibri"/>
          <w:b/>
          <w:i w:val="0"/>
          <w:color w:val="0C2340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07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D6FE0"/>
              <w:spacing w:val="24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single" w:sz="4" w:space="0" w:color="DCE3ED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6" w:space="0" w:color="1D6FE0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24"/>
              <w:sz w:val="14"/>
              <w:u w:val="none"/>
            </w:rPr>
            <w:t>Development Feasibility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7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Development Feasibility Report</dc:title>
  <dc:subject>Residual land value and profitability modelling for a development: costs, revenue, funding, programme and sensitivity.</dc:subject>
  <dc:creator>Aurixa Systems</dc:creator>
  <cp:keywords>Development feasibility, Residual land value, Project appraisal,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