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Usable equity &amp; deployment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4 ASSETS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AT 80% AND 90% LVR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Available equity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headline position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TOTAL EQUITY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AT 80%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AT 90%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COST TO ACCESS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Value less debt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{{equity.usable80}}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 LMI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{{equity.usable90}}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LMI payable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{{equity.cost}}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80%, all fees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the equity can fund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Equity by asset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it sits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Equity position by asset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quity position by asset"/>
        <w:tblDescription w:val="Columns: Asset, Value, Debt, Equity, LVR, Usable at 80%, Usable at 90%"/>
      </w:tblPr>
      <w:tblGrid>
        <w:gridCol w:w="1802"/>
        <w:gridCol w:w="1532"/>
        <w:gridCol w:w="1442"/>
        <w:gridCol w:w="1442"/>
        <w:gridCol w:w="991"/>
        <w:gridCol w:w="1442"/>
        <w:gridCol w:w="1442"/>
      </w:tblGrid>
      <w:tr>
        <w:trPr>
          <w:cantSplit/>
          <w:trHeight w:val="420" w:hRule="atLeast"/>
          <w:tblHeader/>
        </w:trPr>
        <w:tc>
          <w:tcPr>
            <w:tcW w:type="dxa" w:w="18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Asset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Debt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Equity</w:t>
            </w:r>
          </w:p>
        </w:tc>
        <w:tc>
          <w:tcPr>
            <w:tcW w:type="dxa" w:w="9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LVR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Usable at 80%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Usable at 90%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{{equity}}</w:t>
            </w:r>
          </w:p>
        </w:tc>
        <w:tc>
          <w:tcPr>
            <w:tcW w:type="dxa" w:w="9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{{usable80}}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{{usable90}}</w:t>
            </w:r>
          </w:p>
        </w:tc>
      </w:tr>
      <w:tr>
        <w:trPr>
          <w:cantSplit/>
          <w:trHeight w:val="397" w:hRule="atLeast"/>
        </w:trPr>
        <w:tc>
          <w:tcPr>
            <w:tcW w:type="dxa" w:w="18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$4,912,000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$2,065,000</w:t>
            </w:r>
          </w:p>
        </w:tc>
        <w:tc>
          <w:tcPr>
            <w:tcW w:type="dxa" w:w="9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58.0%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$1,373,400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$1,753,200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Usable equity is the amount that can be drawn without exceeding the stated LVR on that security. Portfolio totals exclude the negative position on 21 Test Road; the practical figure at 80% is $1,082,600 after allowing for single-lender exposure limits.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Release options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ways to structure it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Release options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lease options"/>
        <w:tblDescription w:val="Compares: 3 standalone, Single top-up, Cross-collateralised, New lender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3 standalone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Single top-up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Cross-collateralised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New lender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Structure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One facility per security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Increase one existing loan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One facility over three securities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Refinance all to one lender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Amount released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$1,082,600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$615,200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$1,373,400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$1,082,600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$4,980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$1,660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$3,320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$8,940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Cross-collateralisation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 — all three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None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access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4–6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2–3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4–6 weeks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6–8 weeks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Sell an asset later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Requires full revaluation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Simple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Recommended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If speed matters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Cost of access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fee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Cost to access at 80% LVR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st to access at 80% LVR"/>
        <w:tblDescription w:val="Columns: Cost, Per facility, Facilities, Total, Note"/>
      </w:tblPr>
      <w:tblGrid>
        <w:gridCol w:w="2948"/>
        <w:gridCol w:w="1587"/>
        <w:gridCol w:w="1247"/>
        <w:gridCol w:w="1587"/>
        <w:gridCol w:w="2721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Per facility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Facilities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Total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{{per}}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{{total}}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cost of access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24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$4,980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At 90% LVR add approximately $18,400 of lenders mortgage insurance. LMI is not refundable and is not tax deductible in the year paid; it is amortised over five years or the loan term, whichever is shorter.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Deployment plan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the funds are for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2"/>
                <w:sz w:val="15"/>
                <w:u w:val="none"/>
              </w:rPr>
              <w:t>Interest cost while undeployed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Released funds held in an offset account against their own facility cost nothing until drawn. That is why we recommend releasing before you find a property rather than after — it removes finance from the critical path without carrying an interest cost.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Risks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to watch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08   Next steps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To release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Before we lodge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{{nextSteps[4]}}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Equity Release Strategy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 Release Strategy</dc:title>
  <dc:subject>How much usable equity exists, how it can be accessed, what it costs and what it can fund.</dc:subject>
  <dc:creator>Aurixa Systems</dc:creator>
  <cp:keywords>Equity release, Usable equity, Deployment plan,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