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64"/>
                <w:sz w:val="16"/>
                <w:u w:val="none"/>
              </w:rPr>
              <w:t>Usable equity &amp; deployment</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6"/>
                <w:sz w:val="60"/>
                <w:u w:val="none"/>
              </w:rPr>
              <w:t>Equity Release Strategy</w:t>
            </w:r>
          </w:p>
          <w:p>
            <w:pPr>
              <w:keepNext w:val="0"/>
              <w:keepLines/>
              <w:pageBreakBefore w:val="0"/>
              <w:widowControl w:val="1"/>
              <w:spacing w:before="0" w:after="0" w:line="322" w:lineRule="auto"/>
            </w:pPr>
            <w:r>
              <w:rPr>
                <w:rFonts w:ascii="Calibri" w:hAnsi="Calibri" w:cs="Calibri" w:eastAsia="Calibri"/>
                <w:b w:val="0"/>
                <w:i w:val="0"/>
                <w:color w:val="AFC0D6"/>
                <w:sz w:val="22"/>
                <w:u w:val="none"/>
              </w:rPr>
              <w:t>How much equity you can access across your assets, how to access it, what it costs, and what it can fund.</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309"/>
              <w:gridCol w:w="4309"/>
            </w:tblGrid>
            <w:tr>
              <w:trPr>
                <w:cantSplit/>
              </w:trPr>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4 ASSETS</w:t>
                  </w:r>
                </w:p>
              </w:tc>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AT 80% AND 90% LVR</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01   Available equity</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The headline position</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TOTAL EQUITY</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USABLE AT 80%</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USABLE AT 90%</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COST TO ACCESS</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$2,065,000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Value less debt</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$1,082,600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No LMI</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$1,573,800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LMI payable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$4,980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At 80%, all fees</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02   Summary</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What the equity can fund</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Summary</w:t>
            </w:r>
          </w:p>
          <w:p>
            <w:pPr>
              <w:keepNext/>
              <w:keepLines/>
              <w:pageBreakBefore w:val="0"/>
              <w:widowControl w:val="1"/>
              <w:spacing w:before="0" w:after="120" w:line="293" w:lineRule="auto"/>
            </w:pPr>
            <w:r>
              <w:rPr>
                <w:rFonts w:ascii="Calibri" w:hAnsi="Calibri" w:cs="Calibri" w:eastAsia="Calibri"/>
                <w:b/>
                <w:i w:val="0"/>
                <w:color w:val="0C2340"/>
                <w:sz w:val="23"/>
                <w:u w:val="none"/>
              </w:rPr>
              <w:t>$1,082,600 is accessible at 80% without LMI — enough for two further acquisitions at your current price point, funded entirely from existing assets.</w:t>
            </w:r>
          </w:p>
          <w:p>
            <w:pPr>
              <w:keepNext w:val="0"/>
              <w:keepLines/>
              <w:pageBreakBefore w:val="0"/>
              <w:widowControl w:val="1"/>
              <w:spacing w:before="0" w:after="0" w:line="326" w:lineRule="auto"/>
            </w:pPr>
            <w:r>
              <w:rPr>
                <w:rFonts w:ascii="Calibri" w:hAnsi="Calibri" w:cs="Calibri" w:eastAsia="Calibri"/>
                <w:b w:val="0"/>
                <w:i w:val="0"/>
                <w:color w:val="10192A"/>
                <w:sz w:val="19"/>
                <w:u w:val="none"/>
              </w:rPr>
              <w:t>Three of your four assets hold usable equity at 80% LVR. The fourth, 21 Test Road, is above 100% LVR and contributes nothing; it is excluded from every figure in this report.</w:t>
            </w:r>
          </w:p>
          <w:p>
            <w:pPr>
              <w:keepNext w:val="0"/>
              <w:keepLines/>
              <w:pageBreakBefore w:val="0"/>
              <w:widowControl w:val="1"/>
              <w:spacing w:before="100" w:after="0" w:line="326" w:lineRule="auto"/>
            </w:pPr>
            <w:r>
              <w:rPr>
                <w:rFonts w:ascii="Calibri" w:hAnsi="Calibri" w:cs="Calibri" w:eastAsia="Calibri"/>
                <w:b w:val="0"/>
                <w:i w:val="0"/>
                <w:color w:val="10192A"/>
                <w:sz w:val="19"/>
                <w:u w:val="none"/>
              </w:rPr>
              <w:t>Accessing equity at 80% costs $4,980 in valuation, application and legal fees across three facilities. Pushing to 90% releases a further $491,200 but attracts approximately $18,400 of lenders mortgage insurance, which is not recoverable and is rarely worth paying for investment purposes.</w:t>
            </w:r>
          </w:p>
          <w:p>
            <w:pPr>
              <w:keepNext w:val="0"/>
              <w:keepLines/>
              <w:pageBreakBefore w:val="0"/>
              <w:widowControl w:val="1"/>
              <w:spacing w:before="100" w:after="0" w:line="326" w:lineRule="auto"/>
            </w:pPr>
            <w:r>
              <w:rPr>
                <w:rFonts w:ascii="Calibri" w:hAnsi="Calibri" w:cs="Calibri" w:eastAsia="Calibri"/>
                <w:b w:val="0"/>
                <w:i w:val="0"/>
                <w:color w:val="10192A"/>
                <w:sz w:val="19"/>
                <w:u w:val="none"/>
              </w:rPr>
              <w:t>The recommended structure is three standalone equity release facilities rather than one consolidated facility, so each stays tied to its own security and no cross-collateralisation is created.</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03   Equity by asset</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Where it sits</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Equity position by asset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Equity position by asset"/>
        <w:tblDescription w:val="Columns: Asset, Value, Debt, Equity, LVR, Usable at 80%, Usable at 90%"/>
      </w:tblPr>
      <w:tblGrid>
        <w:gridCol w:w="1802"/>
        <w:gridCol w:w="1532"/>
        <w:gridCol w:w="1442"/>
        <w:gridCol w:w="1442"/>
        <w:gridCol w:w="991"/>
        <w:gridCol w:w="1442"/>
        <w:gridCol w:w="1442"/>
      </w:tblGrid>
      <w:tr>
        <w:trPr>
          <w:cantSplit/>
          <w:trHeight w:val="420" w:hRule="atLeast"/>
          <w:tblHeader/>
        </w:trPr>
        <w:tc>
          <w:tcPr>
            <w:tcW w:type="dxa" w:w="180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Asset</w:t>
            </w:r>
          </w:p>
        </w:tc>
        <w:tc>
          <w:tcPr>
            <w:tcW w:type="dxa" w:w="153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Value</w:t>
            </w:r>
          </w:p>
        </w:tc>
        <w:tc>
          <w:tcPr>
            <w:tcW w:type="dxa" w:w="144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Debt</w:t>
            </w:r>
          </w:p>
        </w:tc>
        <w:tc>
          <w:tcPr>
            <w:tcW w:type="dxa" w:w="144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Equity</w:t>
            </w:r>
          </w:p>
        </w:tc>
        <w:tc>
          <w:tcPr>
            <w:tcW w:type="dxa" w:w="99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LVR</w:t>
            </w:r>
          </w:p>
        </w:tc>
        <w:tc>
          <w:tcPr>
            <w:tcW w:type="dxa" w:w="144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Usable at 80%</w:t>
            </w:r>
          </w:p>
        </w:tc>
        <w:tc>
          <w:tcPr>
            <w:tcW w:type="dxa" w:w="144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Usable at 90%</w:t>
            </w:r>
          </w:p>
        </w:tc>
      </w:tr>
      <w:tr>
        <w:trPr>
          <w:cantSplit/>
          <w:trHeight w:val="397" w:hRule="atLeast"/>
        </w:trPr>
        <w:tc>
          <w:tcPr>
            <w:tcW w:type="dxa" w:w="180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 Example St</w:t>
            </w:r>
          </w:p>
        </w:tc>
        <w:tc>
          <w:tcPr>
            <w:tcW w:type="dxa" w:w="153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$1,284,000</w:t>
            </w:r>
          </w:p>
        </w:tc>
        <w:tc>
          <w:tcPr>
            <w:tcW w:type="dxa" w:w="14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$412,000</w:t>
            </w:r>
          </w:p>
        </w:tc>
        <w:tc>
          <w:tcPr>
            <w:tcW w:type="dxa" w:w="14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$872,000</w:t>
            </w:r>
          </w:p>
        </w:tc>
        <w:tc>
          <w:tcPr>
            <w:tcW w:type="dxa" w:w="99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32.1%</w:t>
            </w:r>
          </w:p>
        </w:tc>
        <w:tc>
          <w:tcPr>
            <w:tcW w:type="dxa" w:w="14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$615,200</w:t>
            </w:r>
          </w:p>
        </w:tc>
        <w:tc>
          <w:tcPr>
            <w:tcW w:type="dxa" w:w="14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$743,600</w:t>
            </w:r>
          </w:p>
        </w:tc>
      </w:tr>
      <w:tr>
        <w:trPr>
          <w:cantSplit/>
          <w:trHeight w:val="397" w:hRule="atLeast"/>
        </w:trPr>
        <w:tc>
          <w:tcPr>
            <w:tcW w:type="dxa" w:w="180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 Sample Ave</w:t>
            </w:r>
          </w:p>
        </w:tc>
        <w:tc>
          <w:tcPr>
            <w:tcW w:type="dxa" w:w="153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$1,196,000</w:t>
            </w:r>
          </w:p>
        </w:tc>
        <w:tc>
          <w:tcPr>
            <w:tcW w:type="dxa" w:w="144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$389,000</w:t>
            </w:r>
          </w:p>
        </w:tc>
        <w:tc>
          <w:tcPr>
            <w:tcW w:type="dxa" w:w="144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$807,000</w:t>
            </w:r>
          </w:p>
        </w:tc>
        <w:tc>
          <w:tcPr>
            <w:tcW w:type="dxa" w:w="99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32.5%</w:t>
            </w:r>
          </w:p>
        </w:tc>
        <w:tc>
          <w:tcPr>
            <w:tcW w:type="dxa" w:w="144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$567,800</w:t>
            </w:r>
          </w:p>
        </w:tc>
        <w:tc>
          <w:tcPr>
            <w:tcW w:type="dxa" w:w="144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$687,400</w:t>
            </w:r>
          </w:p>
        </w:tc>
      </w:tr>
      <w:tr>
        <w:trPr>
          <w:cantSplit/>
          <w:trHeight w:val="397" w:hRule="atLeast"/>
        </w:trPr>
        <w:tc>
          <w:tcPr>
            <w:tcW w:type="dxa" w:w="180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 Demo Close</w:t>
            </w:r>
          </w:p>
        </w:tc>
        <w:tc>
          <w:tcPr>
            <w:tcW w:type="dxa" w:w="153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$1,318,000</w:t>
            </w:r>
          </w:p>
        </w:tc>
        <w:tc>
          <w:tcPr>
            <w:tcW w:type="dxa" w:w="14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$864,000</w:t>
            </w:r>
          </w:p>
        </w:tc>
        <w:tc>
          <w:tcPr>
            <w:tcW w:type="dxa" w:w="14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$454,000</w:t>
            </w:r>
          </w:p>
        </w:tc>
        <w:tc>
          <w:tcPr>
            <w:tcW w:type="dxa" w:w="99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65.6%</w:t>
            </w:r>
          </w:p>
        </w:tc>
        <w:tc>
          <w:tcPr>
            <w:tcW w:type="dxa" w:w="14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$190,400</w:t>
            </w:r>
          </w:p>
        </w:tc>
        <w:tc>
          <w:tcPr>
            <w:tcW w:type="dxa" w:w="14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$322,200</w:t>
            </w:r>
          </w:p>
        </w:tc>
      </w:tr>
      <w:tr>
        <w:trPr>
          <w:cantSplit/>
          <w:trHeight w:val="397" w:hRule="atLeast"/>
        </w:trPr>
        <w:tc>
          <w:tcPr>
            <w:tcW w:type="dxa" w:w="180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 Test Rd</w:t>
            </w:r>
          </w:p>
        </w:tc>
        <w:tc>
          <w:tcPr>
            <w:tcW w:type="dxa" w:w="153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$1,114,000</w:t>
            </w:r>
          </w:p>
        </w:tc>
        <w:tc>
          <w:tcPr>
            <w:tcW w:type="dxa" w:w="144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$1,182,000</w:t>
            </w:r>
          </w:p>
        </w:tc>
        <w:tc>
          <w:tcPr>
            <w:tcW w:type="dxa" w:w="144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-$68,000</w:t>
            </w:r>
          </w:p>
        </w:tc>
        <w:tc>
          <w:tcPr>
            <w:tcW w:type="dxa" w:w="99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106.1%</w:t>
            </w:r>
          </w:p>
        </w:tc>
        <w:tc>
          <w:tcPr>
            <w:tcW w:type="dxa" w:w="144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c>
          <w:tcPr>
            <w:tcW w:type="dxa" w:w="144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r>
      <w:tr>
        <w:trPr>
          <w:cantSplit/>
          <w:trHeight w:val="397" w:hRule="atLeast"/>
        </w:trPr>
        <w:tc>
          <w:tcPr>
            <w:tcW w:type="dxa" w:w="1802"/>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Portfolio</w:t>
            </w:r>
          </w:p>
        </w:tc>
        <w:tc>
          <w:tcPr>
            <w:tcW w:type="dxa" w:w="1532"/>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$4,912,000</w:t>
            </w:r>
          </w:p>
        </w:tc>
        <w:tc>
          <w:tcPr>
            <w:tcW w:type="dxa" w:w="1442"/>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$2,847,000</w:t>
            </w:r>
          </w:p>
        </w:tc>
        <w:tc>
          <w:tcPr>
            <w:tcW w:type="dxa" w:w="1442"/>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$2,065,000</w:t>
            </w:r>
          </w:p>
        </w:tc>
        <w:tc>
          <w:tcPr>
            <w:tcW w:type="dxa" w:w="991"/>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58.0%</w:t>
            </w:r>
          </w:p>
        </w:tc>
        <w:tc>
          <w:tcPr>
            <w:tcW w:type="dxa" w:w="1442"/>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$1,373,400</w:t>
            </w:r>
          </w:p>
        </w:tc>
        <w:tc>
          <w:tcPr>
            <w:tcW w:type="dxa" w:w="1442"/>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$1,753,200</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Usable equity is the amount that can be drawn without exceeding the stated LVR on that security. Portfolio totals exclude the negative position on 21 Test Road; the practical figure at 80% is $1,082,600 after allowing for single-lender exposure limits.</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04   Release options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Four ways to structure it</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Release options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elease options"/>
        <w:tblDescription w:val="Compares: 3 standalone, Single top-up, Cross-collateralised, New lender"/>
      </w:tblPr>
      <w:tblGrid>
        <w:gridCol w:w="2624"/>
        <w:gridCol w:w="1867"/>
        <w:gridCol w:w="1867"/>
        <w:gridCol w:w="1867"/>
        <w:gridCol w:w="1867"/>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1554AE"/>
            <w:tcMar>
              <w:top w:w="105" w:type="dxa"/>
              <w:left w:w="147" w:type="dxa"/>
              <w:bottom w:w="105" w:type="dxa"/>
              <w:right w:w="147" w:type="dxa"/>
            </w:tcMar>
            <w:vAlign w:val="center"/>
          </w:tcPr>
          <w:p>
            <w:pPr>
              <w:keepNext w:val="0"/>
              <w:keepLines/>
              <w:pageBreakBefore w:val="0"/>
              <w:widowControl w:val="1"/>
              <w:spacing w:before="0" w:after="0" w:line="274" w:lineRule="auto"/>
            </w:pPr>
          </w:p>
        </w:tc>
        <w:tc>
          <w:tcPr>
            <w:tcW w:type="dxa" w:w="1867"/>
            <w:tcBorders>
              <w:top w:val="nil"/>
              <w:left w:val="nil"/>
              <w:bottom w:val="single" w:sz="8" w:space="0" w:color="1D6FE0"/>
              <w:right w:val="single" w:sz="16" w:space="0" w:color="FFFFFF"/>
            </w:tcBorders>
            <w:shd w:val="clear" w:color="auto" w:fill="1D6FE0"/>
            <w:tcMar>
              <w:top w:w="105" w:type="dxa"/>
              <w:left w:w="147" w:type="dxa"/>
              <w:bottom w:w="105" w:type="dxa"/>
              <w:right w:w="147"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3 standalone</w:t>
            </w:r>
          </w:p>
        </w:tc>
        <w:tc>
          <w:tcPr>
            <w:tcW w:type="dxa" w:w="1867"/>
            <w:tcBorders>
              <w:top w:val="nil"/>
              <w:left w:val="nil"/>
              <w:bottom w:val="single" w:sz="8" w:space="0" w:color="1D6FE0"/>
              <w:right w:val="single" w:sz="16" w:space="0" w:color="FFFFFF"/>
            </w:tcBorders>
            <w:shd w:val="clear" w:color="auto" w:fill="1554AE"/>
            <w:tcMar>
              <w:top w:w="105" w:type="dxa"/>
              <w:left w:w="147" w:type="dxa"/>
              <w:bottom w:w="105" w:type="dxa"/>
              <w:right w:w="147"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Single top-up</w:t>
            </w:r>
          </w:p>
        </w:tc>
        <w:tc>
          <w:tcPr>
            <w:tcW w:type="dxa" w:w="1867"/>
            <w:tcBorders>
              <w:top w:val="nil"/>
              <w:left w:val="nil"/>
              <w:bottom w:val="single" w:sz="8" w:space="0" w:color="1D6FE0"/>
              <w:right w:val="single" w:sz="16" w:space="0" w:color="FFFFFF"/>
            </w:tcBorders>
            <w:shd w:val="clear" w:color="auto" w:fill="1554AE"/>
            <w:tcMar>
              <w:top w:w="105" w:type="dxa"/>
              <w:left w:w="147" w:type="dxa"/>
              <w:bottom w:w="105" w:type="dxa"/>
              <w:right w:w="147"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Cross-collateralised</w:t>
            </w:r>
          </w:p>
        </w:tc>
        <w:tc>
          <w:tcPr>
            <w:tcW w:type="dxa" w:w="1867"/>
            <w:tcBorders>
              <w:top w:val="nil"/>
              <w:left w:val="nil"/>
              <w:bottom w:val="single" w:sz="8" w:space="0" w:color="1D6FE0"/>
              <w:right w:val="nil"/>
            </w:tcBorders>
            <w:shd w:val="clear" w:color="auto" w:fill="1554AE"/>
            <w:tcMar>
              <w:top w:w="105" w:type="dxa"/>
              <w:left w:w="147" w:type="dxa"/>
              <w:bottom w:w="105" w:type="dxa"/>
              <w:right w:w="147"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New lender</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Structure</w:t>
            </w:r>
          </w:p>
        </w:tc>
        <w:tc>
          <w:tcPr>
            <w:tcW w:type="dxa" w:w="1867"/>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One facility per security</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Increase one existing loan</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One facility over three securities</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Refinance all to one lender</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Amount released</w:t>
            </w:r>
          </w:p>
        </w:tc>
        <w:tc>
          <w:tcPr>
            <w:tcW w:type="dxa" w:w="1867"/>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$1,082,600</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$615,200</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$1,373,400</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$1,082,600</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Cost</w:t>
            </w:r>
          </w:p>
        </w:tc>
        <w:tc>
          <w:tcPr>
            <w:tcW w:type="dxa" w:w="1867"/>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$4,980</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$1,660</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$3,320</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$8,940</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Cross-collateralisation</w:t>
            </w:r>
          </w:p>
        </w:tc>
        <w:tc>
          <w:tcPr>
            <w:tcW w:type="dxa" w:w="1867"/>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None</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None</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 — all three</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None</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Time to access</w:t>
            </w:r>
          </w:p>
        </w:tc>
        <w:tc>
          <w:tcPr>
            <w:tcW w:type="dxa" w:w="1867"/>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4–6 weeks</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2–3 weeks</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4–6 weeks</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6–8 weeks</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Sell an asset later</w:t>
            </w:r>
          </w:p>
        </w:tc>
        <w:tc>
          <w:tcPr>
            <w:tcW w:type="dxa" w:w="1867"/>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Simple</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Simple</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Requires full revaluation</w:t>
            </w:r>
          </w:p>
        </w:tc>
        <w:tc>
          <w:tcPr>
            <w:tcW w:type="dxa" w:w="1867"/>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Simple</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Recommended</w:t>
            </w:r>
          </w:p>
        </w:tc>
        <w:tc>
          <w:tcPr>
            <w:tcW w:type="dxa" w:w="1867"/>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If speed matters</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w:t>
            </w:r>
          </w:p>
        </w:tc>
        <w:tc>
          <w:tcPr>
            <w:tcW w:type="dxa" w:w="1867"/>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05   Cost of access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Every fee</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Cost to access at 80% LVR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st to access at 80% LVR"/>
        <w:tblDescription w:val="Columns: Cost, Per facility, Facilities, Total, Note"/>
      </w:tblPr>
      <w:tblGrid>
        <w:gridCol w:w="2948"/>
        <w:gridCol w:w="1587"/>
        <w:gridCol w:w="1247"/>
        <w:gridCol w:w="1587"/>
        <w:gridCol w:w="2721"/>
      </w:tblGrid>
      <w:tr>
        <w:trPr>
          <w:cantSplit/>
          <w:trHeight w:val="420" w:hRule="atLeast"/>
          <w:tblHeader/>
        </w:trPr>
        <w:tc>
          <w:tcPr>
            <w:tcW w:type="dxa" w:w="2948"/>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Cost</w:t>
            </w:r>
          </w:p>
        </w:tc>
        <w:tc>
          <w:tcPr>
            <w:tcW w:type="dxa" w:w="1587"/>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Per facility</w:t>
            </w:r>
          </w:p>
        </w:tc>
        <w:tc>
          <w:tcPr>
            <w:tcW w:type="dxa" w:w="1247"/>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Facilities</w:t>
            </w:r>
          </w:p>
        </w:tc>
        <w:tc>
          <w:tcPr>
            <w:tcW w:type="dxa" w:w="1587"/>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Total</w:t>
            </w:r>
          </w:p>
        </w:tc>
        <w:tc>
          <w:tcPr>
            <w:tcW w:type="dxa" w:w="27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Note</w:t>
            </w:r>
          </w:p>
        </w:tc>
      </w:tr>
      <w:tr>
        <w:trPr>
          <w:cantSplit/>
          <w:trHeight w:val="397" w:hRule="atLeast"/>
        </w:trPr>
        <w:tc>
          <w:tcPr>
            <w:tcW w:type="dxa" w:w="294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Valuation fee</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$550</w:t>
            </w:r>
          </w:p>
        </w:tc>
        <w:tc>
          <w:tcPr>
            <w:tcW w:type="dxa" w:w="124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$1,650</w:t>
            </w:r>
          </w:p>
        </w:tc>
        <w:tc>
          <w:tcPr>
            <w:tcW w:type="dxa" w:w="27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Full valuation required above $500k</w:t>
            </w:r>
          </w:p>
        </w:tc>
      </w:tr>
      <w:tr>
        <w:trPr>
          <w:cantSplit/>
          <w:trHeight w:val="397" w:hRule="atLeast"/>
        </w:trPr>
        <w:tc>
          <w:tcPr>
            <w:tcW w:type="dxa" w:w="294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Application / top-up fee</w:t>
            </w:r>
          </w:p>
        </w:tc>
        <w:tc>
          <w:tcPr>
            <w:tcW w:type="dxa" w:w="15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$300</w:t>
            </w:r>
          </w:p>
        </w:tc>
        <w:tc>
          <w:tcPr>
            <w:tcW w:type="dxa" w:w="124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w:t>
            </w:r>
          </w:p>
        </w:tc>
        <w:tc>
          <w:tcPr>
            <w:tcW w:type="dxa" w:w="15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$900</w:t>
            </w:r>
          </w:p>
        </w:tc>
        <w:tc>
          <w:tcPr>
            <w:tcW w:type="dxa" w:w="27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Waived on one package</w:t>
            </w:r>
          </w:p>
        </w:tc>
      </w:tr>
      <w:tr>
        <w:trPr>
          <w:cantSplit/>
          <w:trHeight w:val="397" w:hRule="atLeast"/>
        </w:trPr>
        <w:tc>
          <w:tcPr>
            <w:tcW w:type="dxa" w:w="294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Legal and settlement</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$610</w:t>
            </w:r>
          </w:p>
        </w:tc>
        <w:tc>
          <w:tcPr>
            <w:tcW w:type="dxa" w:w="124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$1,830</w:t>
            </w:r>
          </w:p>
        </w:tc>
        <w:tc>
          <w:tcPr>
            <w:tcW w:type="dxa" w:w="27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Estimate</w:t>
            </w:r>
          </w:p>
        </w:tc>
      </w:tr>
      <w:tr>
        <w:trPr>
          <w:cantSplit/>
          <w:trHeight w:val="397" w:hRule="atLeast"/>
        </w:trPr>
        <w:tc>
          <w:tcPr>
            <w:tcW w:type="dxa" w:w="294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and registration</w:t>
            </w:r>
          </w:p>
        </w:tc>
        <w:tc>
          <w:tcPr>
            <w:tcW w:type="dxa" w:w="15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$200</w:t>
            </w:r>
          </w:p>
        </w:tc>
        <w:tc>
          <w:tcPr>
            <w:tcW w:type="dxa" w:w="124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w:t>
            </w:r>
          </w:p>
        </w:tc>
        <w:tc>
          <w:tcPr>
            <w:tcW w:type="dxa" w:w="15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$600</w:t>
            </w:r>
          </w:p>
        </w:tc>
        <w:tc>
          <w:tcPr>
            <w:tcW w:type="dxa" w:w="27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State fees</w:t>
            </w:r>
          </w:p>
        </w:tc>
      </w:tr>
      <w:tr>
        <w:trPr>
          <w:cantSplit/>
          <w:trHeight w:val="397" w:hRule="atLeast"/>
        </w:trPr>
        <w:tc>
          <w:tcPr>
            <w:tcW w:type="dxa" w:w="294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Lenders mortgage insurance</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c>
          <w:tcPr>
            <w:tcW w:type="dxa" w:w="124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c>
          <w:tcPr>
            <w:tcW w:type="dxa" w:w="27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payable at 80% LVR</w:t>
            </w:r>
          </w:p>
        </w:tc>
      </w:tr>
      <w:tr>
        <w:trPr>
          <w:cantSplit/>
          <w:trHeight w:val="397" w:hRule="atLeast"/>
        </w:trPr>
        <w:tc>
          <w:tcPr>
            <w:tcW w:type="dxa" w:w="2948"/>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Total cost of access</w:t>
            </w:r>
          </w:p>
        </w:tc>
        <w:tc>
          <w:tcPr>
            <w:tcW w:type="dxa" w:w="1587"/>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keepLines/>
              <w:pageBreakBefore w:val="0"/>
              <w:widowControl w:val="1"/>
              <w:spacing w:before="0" w:after="0" w:line="293" w:lineRule="auto"/>
              <w:jc w:val="right"/>
            </w:pPr>
          </w:p>
        </w:tc>
        <w:tc>
          <w:tcPr>
            <w:tcW w:type="dxa" w:w="1247"/>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keepLines/>
              <w:pageBreakBefore w:val="0"/>
              <w:widowControl w:val="1"/>
              <w:spacing w:before="0" w:after="0" w:line="293" w:lineRule="auto"/>
              <w:jc w:val="right"/>
            </w:pPr>
          </w:p>
        </w:tc>
        <w:tc>
          <w:tcPr>
            <w:tcW w:type="dxa" w:w="1587"/>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$4,980</w:t>
            </w:r>
          </w:p>
        </w:tc>
        <w:tc>
          <w:tcPr>
            <w:tcW w:type="dxa" w:w="2721"/>
            <w:tcBorders>
              <w:top w:val="nil"/>
              <w:left w:val="nil"/>
              <w:bottom w:val="single" w:sz="8" w:space="0" w:color="1D6FE0"/>
              <w:right w:val="nil"/>
            </w:tcBorders>
            <w:shd w:val="clear" w:color="auto" w:fill="DCE8FB"/>
            <w:tcMar>
              <w:top w:w="105" w:type="dxa"/>
              <w:left w:w="147" w:type="dxa"/>
              <w:bottom w:w="105" w:type="dxa"/>
              <w:right w:w="147" w:type="dxa"/>
            </w:tcMar>
            <w:vAlign w:val="top"/>
          </w:tcPr>
          <w:p>
            <w:pPr>
              <w:keepNext/>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At 90% LVR add approximately $18,400 of lenders mortgage insurance. LMI is not refundable and is not tax deductible in the year paid; it is amortised over five years or the loan term, whichever is shorter.</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06   Deployment plan</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What the funds are for</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Release</w:t>
            </w:r>
          </w:p>
        </w:tc>
        <w:tc>
          <w:tcPr>
            <w:tcW w:type="dxa" w:w="7143"/>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Establish three facilities totalling $1,082,600.</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Hold</w:t>
            </w:r>
          </w:p>
        </w:tc>
        <w:tc>
          <w:tcPr>
            <w:tcW w:type="dxa" w:w="7143"/>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Funds sit in offset against the released facilities — no interest cost until drawn.</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Deploy 1</w:t>
            </w:r>
          </w:p>
        </w:tc>
        <w:tc>
          <w:tcPr>
            <w:tcW w:type="dxa" w:w="7143"/>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First acquisition: deposit and costs of approximately $212,000.</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4</w:t>
            </w:r>
          </w:p>
        </w:tc>
        <w:tc>
          <w:tcPr>
            <w:tcW w:type="dxa" w:w="2268"/>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Deploy 2</w:t>
            </w:r>
          </w:p>
        </w:tc>
        <w:tc>
          <w:tcPr>
            <w:tcW w:type="dxa" w:w="7143"/>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Second acquisition within 12 months: approximately $224,000.</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5</w:t>
            </w:r>
          </w:p>
        </w:tc>
        <w:tc>
          <w:tcPr>
            <w:tcW w:type="dxa" w:w="2268"/>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Reserve</w:t>
            </w:r>
          </w:p>
        </w:tc>
        <w:tc>
          <w:tcPr>
            <w:tcW w:type="dxa" w:w="7143"/>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Retain $120,000 as a serviceability and contingency buffer.</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B4CDF3"/>
              <w:left w:val="single" w:sz="18" w:space="0" w:color="1554AE"/>
              <w:bottom w:val="single" w:sz="4" w:space="0" w:color="B4CDF3"/>
              <w:right w:val="single" w:sz="4" w:space="0" w:color="B4CDF3"/>
            </w:tcBorders>
            <w:shd w:val="clear" w:color="auto" w:fill="EAF1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554AE"/>
                <w:spacing w:val="32"/>
                <w:sz w:val="15"/>
                <w:u w:val="none"/>
              </w:rPr>
              <w:t>Interest cost while undeployed</w:t>
            </w:r>
          </w:p>
          <w:p>
            <w:pPr>
              <w:keepNext w:val="0"/>
              <w:keepLines/>
              <w:pageBreakBefore w:val="0"/>
              <w:widowControl w:val="1"/>
              <w:spacing w:before="0" w:after="0" w:line="326" w:lineRule="auto"/>
            </w:pPr>
            <w:r>
              <w:rPr>
                <w:rFonts w:ascii="Calibri" w:hAnsi="Calibri" w:cs="Calibri" w:eastAsia="Calibri"/>
                <w:b w:val="0"/>
                <w:i w:val="0"/>
                <w:color w:val="10192A"/>
                <w:sz w:val="17"/>
                <w:u w:val="none"/>
              </w:rPr>
              <w:t>Released funds held in an offset account against their own facility cost nothing until drawn. That is why we recommend releasing before you find a property rather than after — it removes finance from the critical path without carrying an interest cost.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07   Risks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What to watch</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32"/>
          <w:sz w:val="15"/>
          <w:u w:val="none"/>
        </w:rPr>
        <w:t>Risks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Valuations come in below the assumed figures</w:t>
            </w:r>
          </w:p>
        </w:tc>
        <w:tc>
          <w:tcPr>
            <w:tcW w:type="dxa" w:w="1413"/>
            <w:tcBorders>
              <w:top w:val="nil"/>
              <w:left w:val="nil"/>
              <w:bottom w:val="single" w:sz="4" w:space="0" w:color="DCE3ED"/>
              <w:right w:val="nil"/>
            </w:tcBorders>
            <w:shd w:val="clear" w:color="auto" w:fill="FBECEA"/>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Every figure here depends on the assumed values. Order upfront valuations before committing to any purchase timeline.</w:t>
            </w:r>
          </w:p>
        </w:tc>
      </w:tr>
      <w:tr>
        <w:trPr>
          <w:cantSplit/>
        </w:trPr>
        <w:tc>
          <w:tcPr>
            <w:tcW w:type="dxa" w:w="403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Cross-collateralisation if the lender insists</w:t>
            </w:r>
          </w:p>
        </w:tc>
        <w:tc>
          <w:tcPr>
            <w:tcW w:type="dxa" w:w="1413"/>
            <w:tcBorders>
              <w:top w:val="nil"/>
              <w:left w:val="nil"/>
              <w:bottom w:val="single" w:sz="4" w:space="0" w:color="DCE3ED"/>
              <w:right w:val="nil"/>
            </w:tcBorders>
            <w:shd w:val="clear" w:color="auto" w:fill="FBECEA"/>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Two lenders on the panel will only release equity across a combined security pool. Decline those options; the flexibility cost is not worth the marginal rate saving.</w:t>
            </w:r>
          </w:p>
        </w:tc>
      </w:tr>
      <w:tr>
        <w:trPr>
          <w:cantSplit/>
        </w:trPr>
        <w:tc>
          <w:tcPr>
            <w:tcW w:type="dxa" w:w="403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Serviceability limits the release before LVR does</w:t>
            </w:r>
          </w:p>
        </w:tc>
        <w:tc>
          <w:tcPr>
            <w:tcW w:type="dxa" w:w="1413"/>
            <w:tcBorders>
              <w:top w:val="nil"/>
              <w:left w:val="nil"/>
              <w:bottom w:val="single" w:sz="4" w:space="0" w:color="DCE3ED"/>
              <w:right w:val="nil"/>
            </w:tcBorders>
            <w:shd w:val="clear" w:color="auto" w:fill="FBF1E0"/>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At $1,082,600 of additional debt your assessed surplus falls to $410 a month. The binding constraint is servicing, not equity.</w:t>
            </w:r>
          </w:p>
        </w:tc>
      </w:tr>
      <w:tr>
        <w:trPr>
          <w:cantSplit/>
        </w:trPr>
        <w:tc>
          <w:tcPr>
            <w:tcW w:type="dxa" w:w="403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Portfolio LVR rises to 69.1%</w:t>
            </w:r>
          </w:p>
        </w:tc>
        <w:tc>
          <w:tcPr>
            <w:tcW w:type="dxa" w:w="1413"/>
            <w:tcBorders>
              <w:top w:val="nil"/>
              <w:left w:val="nil"/>
              <w:bottom w:val="single" w:sz="4" w:space="0" w:color="DCE3ED"/>
              <w:right w:val="nil"/>
            </w:tcBorders>
            <w:shd w:val="clear" w:color="auto" w:fill="FBF1E0"/>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Inside your stated 70% limit but with little headroom. A 5% fall in values would breach it.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08   Next steps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To release</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Before we lodge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Confirm you want three standalone facilities rather than one consolidated one.</w:t>
            </w:r>
          </w:p>
        </w:tc>
      </w:tr>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Authorise upfront valuations on the three qualifying securities.</w:t>
            </w:r>
          </w:p>
        </w:tc>
      </w:tr>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Provide the last two years of tax returns and current payslips.</w:t>
            </w:r>
          </w:p>
        </w:tc>
      </w:tr>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Confirm the intended purpose of the funds for each facility.</w:t>
            </w:r>
          </w:p>
        </w:tc>
      </w:tr>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Confirm you accept the portfolio LVR moving to 69.1%.</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Important information</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Disclaimer, privacy and terms</w:t>
            </w:r>
          </w:p>
        </w:tc>
      </w:tr>
    </w:tbl>
    <w:p>
      <w:pPr>
        <w:keepNext w:val="1"/>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26"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26"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26"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2"/>
              <w:sz w:val="14"/>
              <w:u w:val="none"/>
            </w:rPr>
            <w:t>Equity Release Strategy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6"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Equity Release Strategy</dc:title>
  <dc:subject>How much usable equity exists, how it can be accessed, what it costs and what it can fund.</dc:subject>
  <dc:creator>Aurixa Systems</dc:creator>
  <cp:keywords>Equity release, Usable equity, Deployment plan,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