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7824" w:hRule="atLeast"/>
        </w:trPr>
        <w:tc>
          <w:tcPr>
            <w:tcW w:type="dxa" w:w="10091"/>
            <w:tcBorders>
              <w:top w:val="single" w:sz="10" w:space="0" w:color="1D6FE0"/>
              <w:left w:val="nil"/>
              <w:bottom w:val="nil"/>
              <w:right w:val="nil"/>
            </w:tcBorders>
            <w:shd w:val="clear" w:color="auto" w:fill="0C2340"/>
            <w:tcMar>
              <w:top w:w="380" w:type="dxa"/>
              <w:left w:w="320" w:type="dxa"/>
              <w:bottom w:w="380" w:type="dxa"/>
              <w:right w:w="320" w:type="dxa"/>
            </w:tcMar>
            <w:vAlign w:val="center"/>
          </w:tcPr>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3515"/>
            </w:tblGrid>
            <w:tr>
              <w:trPr>
                <w:cantSplit/>
              </w:trPr>
              <w:tc>
                <w:tcPr>
                  <w:tcW w:type="dxa" w:w="3515"/>
                  <w:tcBorders>
                    <w:top w:val="dashed" w:sz="8" w:space="0" w:color="1D6FE0"/>
                    <w:left w:val="dashed" w:sz="8" w:space="0" w:color="1D6FE0"/>
                    <w:bottom w:val="dashed" w:sz="8" w:space="0" w:color="1D6FE0"/>
                    <w:right w:val="dashed" w:sz="8" w:space="0" w:color="1D6FE0"/>
                  </w:tcBorders>
                  <w:tcMar>
                    <w:top w:w="190" w:type="dxa"/>
                    <w:left w:w="130" w:type="dxa"/>
                    <w:bottom w:w="190" w:type="dxa"/>
                    <w:right w:w="130" w:type="dxa"/>
                  </w:tcMar>
                </w:tcPr>
                <w:p>
                  <w:pPr>
                    <w:keepNext w:val="0"/>
                    <w:keepLines/>
                    <w:pageBreakBefore w:val="0"/>
                    <w:widowControl w:val="1"/>
                    <w:spacing w:before="0" w:after="0"/>
                    <w:jc w:val="center"/>
                  </w:pPr>
                  <w:r>
                    <w:rPr>
                      <w:rFonts w:ascii="Calibri" w:hAnsi="Calibri" w:cs="Calibri" w:eastAsia="Calibri"/>
                      <w:b/>
                      <w:i w:val="0"/>
                      <w:caps w:val="1"/>
                      <w:color w:val="1D6FE0"/>
                      <w:spacing w:val="40"/>
                      <w:sz w:val="14"/>
                      <w:u w:val="none"/>
                    </w:rPr>
                    <w:t>[  AURIXA SYSTEMS  ]</w:t>
                  </w:r>
                </w:p>
              </w:tc>
            </w:tr>
          </w:tbl>
          <w:p/>
          <w:p>
            <w:pPr>
              <w:keepNext w:val="0"/>
              <w:keepLines/>
              <w:pageBreakBefore w:val="0"/>
              <w:widowControl w:val="1"/>
              <w:spacing w:before="0" w:after="0" w:line="200" w:lineRule="exact"/>
            </w:pPr>
            <w:r>
              <w:rPr>
                <w:sz w:val="2"/>
              </w:rPr>
            </w:r>
          </w:p>
          <w:p>
            <w:pPr>
              <w:keepNext w:val="0"/>
              <w:keepLines/>
              <w:pageBreakBefore w:val="0"/>
              <w:widowControl w:val="1"/>
              <w:spacing w:before="0" w:after="80"/>
            </w:pPr>
            <w:r>
              <w:rPr>
                <w:rFonts w:ascii="Calibri" w:hAnsi="Calibri" w:cs="Calibri" w:eastAsia="Calibri"/>
                <w:b/>
                <w:i w:val="0"/>
                <w:caps w:val="1"/>
                <w:color w:val="1D6FE0"/>
                <w:spacing w:val="64"/>
                <w:sz w:val="16"/>
                <w:u w:val="none"/>
              </w:rPr>
              <w:t>Debt structure &amp; funding plan</w:t>
            </w:r>
          </w:p>
          <w:p>
            <w:pPr>
              <w:keepNext w:val="0"/>
              <w:keepLines/>
              <w:pageBreakBefore w:val="0"/>
              <w:widowControl w:val="1"/>
              <w:spacing w:before="0" w:after="180"/>
            </w:pPr>
            <w:r>
              <w:rPr>
                <w:rFonts w:ascii="Calibri" w:hAnsi="Calibri" w:cs="Calibri" w:eastAsia="Calibri"/>
                <w:b/>
                <w:i w:val="0"/>
                <w:caps w:val="1"/>
                <w:color w:val="FFFFFF"/>
                <w:spacing w:val="48"/>
                <w:sz w:val="19"/>
                <w:u w:val="none"/>
              </w:rPr>
              <w:t>Aurixa Systems</w:t>
            </w:r>
          </w:p>
          <w:p>
            <w:pPr>
              <w:keepNext/>
              <w:keepLines/>
              <w:pageBreakBefore w:val="0"/>
              <w:widowControl w:val="1"/>
              <w:spacing w:before="0" w:after="160" w:line="230" w:lineRule="auto"/>
            </w:pPr>
            <w:r>
              <w:rPr>
                <w:rFonts w:ascii="Calibri" w:hAnsi="Calibri" w:cs="Calibri" w:eastAsia="Calibri"/>
                <w:b/>
                <w:i w:val="0"/>
                <w:color w:val="FFFFFF"/>
                <w:spacing w:val="-6"/>
                <w:sz w:val="60"/>
                <w:u w:val="none"/>
              </w:rPr>
              <w:t>Finance Strategy Report</w:t>
            </w:r>
          </w:p>
          <w:p>
            <w:pPr>
              <w:keepNext w:val="0"/>
              <w:keepLines/>
              <w:pageBreakBefore w:val="0"/>
              <w:widowControl w:val="1"/>
              <w:spacing w:before="0" w:after="0" w:line="322" w:lineRule="auto"/>
            </w:pPr>
            <w:r>
              <w:rPr>
                <w:rFonts w:ascii="Calibri" w:hAnsi="Calibri" w:cs="Calibri" w:eastAsia="Calibri"/>
                <w:b w:val="0"/>
                <w:i w:val="0"/>
                <w:color w:val="AFC0D6"/>
                <w:sz w:val="22"/>
                <w:u w:val="none"/>
              </w:rPr>
              <w:t>How your lending should be structured to support the next three acquisitions, and the order the moves need to happen in.</w:t>
            </w:r>
          </w:p>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872"/>
              <w:gridCol w:w="2872"/>
              <w:gridCol w:w="2872"/>
            </w:tblGrid>
            <w:tr>
              <w:trPr>
                <w:cantSplit/>
              </w:trPr>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STRATEGY</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SEQUENCED</w:t>
                  </w:r>
                </w:p>
              </w:tc>
              <w:tc>
                <w:tcPr>
                  <w:tcW w:type="dxa" w:w="2872"/>
                  <w:tcBorders>
                    <w:top w:val="single" w:sz="4" w:space="0" w:color="1D6FE0"/>
                    <w:left w:val="single" w:sz="4" w:space="0" w:color="1D6FE0"/>
                    <w:bottom w:val="single" w:sz="4" w:space="0" w:color="1D6FE0"/>
                    <w:right w:val="single" w:sz="4" w:space="0" w:color="1D6FE0"/>
                  </w:tcBorders>
                  <w:shd w:val="clear" w:color="auto" w:fill="16375C"/>
                  <w:tcMar>
                    <w:top w:w="90" w:type="dxa"/>
                    <w:left w:w="70" w:type="dxa"/>
                    <w:bottom w:w="90" w:type="dxa"/>
                    <w:right w:w="70" w:type="dxa"/>
                  </w:tcMar>
                </w:tcPr>
                <w:p>
                  <w:pPr>
                    <w:keepNext w:val="0"/>
                    <w:keepLines/>
                    <w:pageBreakBefore w:val="0"/>
                    <w:widowControl w:val="1"/>
                    <w:spacing w:before="0" w:after="0"/>
                    <w:jc w:val="center"/>
                  </w:pPr>
                  <w:r>
                    <w:rPr>
                      <w:rFonts w:ascii="Calibri" w:hAnsi="Calibri" w:cs="Calibri" w:eastAsia="Calibri"/>
                      <w:b/>
                      <w:i w:val="0"/>
                      <w:caps w:val="1"/>
                      <w:color w:val="1D6FE0"/>
                      <w:spacing w:val="28"/>
                      <w:sz w:val="14"/>
                      <w:u w:val="none"/>
                    </w:rPr>
                    <w:t>STRESS-TESTED</w:t>
                  </w:r>
                </w:p>
              </w:tc>
            </w:tr>
          </w:tbl>
          <w:p/>
        </w:tc>
      </w:tr>
    </w:tbl>
    <w:p>
      <w:pPr>
        <w:keepNext w:val="0"/>
        <w:keepLines/>
        <w:pageBreakBefore w:val="0"/>
        <w:widowControl w:val="1"/>
        <w:spacing w:before="0" w:after="0" w:line="3912"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018"/>
        <w:gridCol w:w="3027"/>
        <w:gridCol w:w="2018"/>
        <w:gridCol w:w="3027"/>
      </w:tblGrid>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for</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J. &amp; S.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Client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CL-2026-0418</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Prepared by</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A. Nguyen</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keepLines/>
              <w:pageBreakBefore w:val="0"/>
              <w:widowControl w:val="1"/>
              <w:spacing w:before="0" w:after="0" w:line="269" w:lineRule="auto"/>
            </w:pPr>
            <w:r>
              <w:rPr>
                <w:rFonts w:ascii="Calibri" w:hAnsi="Calibri" w:cs="Calibri" w:eastAsia="Calibri"/>
                <w:b/>
                <w:i w:val="0"/>
                <w:caps w:val="1"/>
                <w:color w:val="10192A"/>
                <w:spacing w:val="16"/>
                <w:sz w:val="15"/>
                <w:u w:val="none"/>
              </w:rPr>
              <w:t>Date of issue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keepLines/>
              <w:pageBreakBefore w:val="0"/>
              <w:widowControl w:val="1"/>
              <w:spacing w:before="0" w:after="0" w:line="278" w:lineRule="auto"/>
            </w:pPr>
            <w:r>
              <w:rPr>
                <w:rFonts w:ascii="Calibri" w:hAnsi="Calibri" w:cs="Calibri" w:eastAsia="Calibri"/>
                <w:b w:val="0"/>
                <w:i w:val="0"/>
                <w:color w:val="10192A"/>
                <w:sz w:val="17"/>
                <w:u w:val="none"/>
              </w:rPr>
              <w:t>31 July 2026</w:t>
            </w:r>
          </w:p>
        </w:tc>
      </w:tr>
      <w:tr>
        <w:trPr>
          <w:cantSplit/>
          <w:trHeight w:val="431" w:hRule="atLeast"/>
        </w:trPr>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Document reference</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APR-0418-01</w:t>
            </w:r>
          </w:p>
        </w:tc>
        <w:tc>
          <w:tcPr>
            <w:tcW w:type="dxa" w:w="2018"/>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Version</w:t>
            </w:r>
          </w:p>
        </w:tc>
        <w:tc>
          <w:tcPr>
            <w:tcW w:type="dxa" w:w="3027"/>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1.0</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01   Executive summary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strategy in brief</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Executive summary</w:t>
            </w:r>
          </w:p>
          <w:p>
            <w:pPr>
              <w:keepNext/>
              <w:keepLines/>
              <w:pageBreakBefore w:val="0"/>
              <w:widowControl w:val="1"/>
              <w:spacing w:before="0" w:after="120" w:line="293" w:lineRule="auto"/>
            </w:pPr>
            <w:r>
              <w:rPr>
                <w:rFonts w:ascii="Calibri" w:hAnsi="Calibri" w:cs="Calibri" w:eastAsia="Calibri"/>
                <w:b/>
                <w:i w:val="0"/>
                <w:color w:val="0C2340"/>
                <w:sz w:val="23"/>
                <w:u w:val="none"/>
              </w:rPr>
              <w:t>Split the cross-collateralised facilities first, then release equity — doing it the other way round costs you a full valuation cycle.</w:t>
            </w:r>
          </w:p>
          <w:p>
            <w:pPr>
              <w:keepNext w:val="0"/>
              <w:keepLines/>
              <w:pageBreakBefore w:val="0"/>
              <w:widowControl w:val="1"/>
              <w:spacing w:before="0" w:after="0" w:line="326" w:lineRule="auto"/>
            </w:pPr>
            <w:r>
              <w:rPr>
                <w:rFonts w:ascii="Calibri" w:hAnsi="Calibri" w:cs="Calibri" w:eastAsia="Calibri"/>
                <w:b w:val="0"/>
                <w:i w:val="0"/>
                <w:color w:val="10192A"/>
                <w:sz w:val="19"/>
                <w:u w:val="none"/>
              </w:rPr>
              <w:t>Your four properties are currently secured under two cross-collateralised facilities with a single lender. That structure has produced a blended rate 0.34% above market and, more importantly, means any equity release requires revaluation of all four assets together.</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The recommended structure separates each property into a standalone facility across two lenders, with a dedicated equity release facility against the two assets that have grown most. This releases $340,000 of usable equity and reduces the blended rate to 6.18%.</w:t>
            </w:r>
          </w:p>
          <w:p>
            <w:pPr>
              <w:keepNext w:val="0"/>
              <w:keepLines/>
              <w:pageBreakBefore w:val="0"/>
              <w:widowControl w:val="1"/>
              <w:spacing w:before="100" w:after="0" w:line="326" w:lineRule="auto"/>
            </w:pPr>
            <w:r>
              <w:rPr>
                <w:rFonts w:ascii="Calibri" w:hAnsi="Calibri" w:cs="Calibri" w:eastAsia="Calibri"/>
                <w:b w:val="0"/>
                <w:i w:val="0"/>
                <w:color w:val="10192A"/>
                <w:sz w:val="19"/>
                <w:u w:val="none"/>
              </w:rPr>
              <w:t>Sequencing matters. Releasing equity before splitting the facilities would lock the current lender's valuations in for a further six months.</w:t>
            </w:r>
          </w:p>
          <w:p>
            <w:pPr>
              <w:keepNext w:val="0"/>
              <w:keepLines/>
              <w:pageBreakBefore w:val="0"/>
              <w:widowControl w:val="1"/>
              <w:spacing w:before="0" w:after="0" w:line="16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What this means</w:t>
            </w:r>
          </w:p>
          <w:p>
            <w:pPr>
              <w:keepNext w:val="0"/>
              <w:keepLines/>
              <w:pageBreakBefore w:val="0"/>
              <w:widowControl w:val="1"/>
              <w:spacing w:before="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Unwind cross-collateralisation before any equity release.</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Blended rate falls from 6.52% to 6.18% — $9,180 per year.</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$340,000 of usable equity is released, funding two acquisitions.</w:t>
            </w:r>
          </w:p>
          <w:p>
            <w:pPr>
              <w:keepNext w:val="0"/>
              <w:keepLines/>
              <w:pageBreakBefore w:val="0"/>
              <w:widowControl w:val="1"/>
              <w:spacing w:before="80" w:after="0" w:line="326" w:lineRule="auto"/>
              <w:ind w:left="200" w:hanging="200"/>
            </w:pPr>
            <w:r>
              <w:rPr>
                <w:rFonts w:ascii="Calibri" w:hAnsi="Calibri" w:cs="Calibri" w:eastAsia="Calibri"/>
                <w:b/>
                <w:i w:val="0"/>
                <w:color w:val="1D6FE0"/>
                <w:sz w:val="19"/>
                <w:u w:val="none"/>
              </w:rPr>
              <w:t xml:space="preserve">›  </w:t>
            </w:r>
            <w:r>
              <w:rPr>
                <w:rFonts w:ascii="Calibri" w:hAnsi="Calibri" w:cs="Calibri" w:eastAsia="Calibri"/>
                <w:b w:val="0"/>
                <w:i w:val="0"/>
                <w:color w:val="10192A"/>
                <w:sz w:val="19"/>
                <w:u w:val="none"/>
              </w:rPr>
              <w:t>The full sequence takes approximately 14 weeks.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523"/>
        <w:gridCol w:w="2523"/>
        <w:gridCol w:w="2523"/>
        <w:gridCol w:w="2523"/>
      </w:tblGrid>
      <w:tr>
        <w:trPr>
          <w:cantSplit/>
        </w:trPr>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TOTAL DEBT</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BLENDED RATE</w:t>
            </w:r>
          </w:p>
        </w:tc>
        <w:tc>
          <w:tcPr>
            <w:tcW w:type="dxa" w:w="2523"/>
            <w:tcBorders>
              <w:right w:val="single" w:sz="24" w:space="0" w:color="FFFFFF"/>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USABLE EQUITY</w:t>
            </w:r>
          </w:p>
        </w:tc>
        <w:tc>
          <w:tcPr>
            <w:tcW w:type="dxa" w:w="2523"/>
            <w:tcBorders>
              <w:right w:val="nil"/>
            </w:tcBorders>
            <w:shd w:val="clear" w:color="auto" w:fill="0C2340"/>
            <w:tcMar>
              <w:top w:w="80" w:type="dxa"/>
              <w:left w:w="120" w:type="dxa"/>
              <w:bottom w:w="60" w:type="dxa"/>
              <w:right w:w="120" w:type="dxa"/>
            </w:tcMar>
          </w:tcPr>
          <w:p>
            <w:pPr>
              <w:keepNext/>
              <w:keepLines/>
              <w:pageBreakBefore w:val="0"/>
              <w:widowControl w:val="1"/>
              <w:spacing w:before="0" w:after="0"/>
            </w:pPr>
            <w:r>
              <w:rPr>
                <w:rFonts w:ascii="Calibri" w:hAnsi="Calibri" w:cs="Calibri" w:eastAsia="Calibri"/>
                <w:b/>
                <w:i w:val="0"/>
                <w:caps w:val="1"/>
                <w:color w:val="1D6FE0"/>
                <w:spacing w:val="32"/>
                <w:sz w:val="14"/>
                <w:u w:val="none"/>
              </w:rPr>
              <w:t>CURRENT LVR</w:t>
            </w:r>
          </w:p>
        </w:tc>
      </w:tr>
      <w:tr>
        <w:trPr>
          <w:cantSplit/>
        </w:trPr>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$1,847,000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Across 4 assets</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6.52%</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Current</w:t>
            </w:r>
          </w:p>
        </w:tc>
        <w:tc>
          <w:tcPr>
            <w:tcW w:type="dxa" w:w="2523"/>
            <w:tcBorders>
              <w:bottom w:val="single" w:sz="8" w:space="0" w:color="1D6FE0"/>
              <w:right w:val="single" w:sz="24" w:space="0" w:color="FFFFFF"/>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$340,000</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At 80% LVR</w:t>
            </w:r>
          </w:p>
        </w:tc>
        <w:tc>
          <w:tcPr>
            <w:tcW w:type="dxa" w:w="2523"/>
            <w:tcBorders>
              <w:bottom w:val="single" w:sz="8" w:space="0" w:color="1D6FE0"/>
              <w:right w:val="nil"/>
            </w:tcBorders>
            <w:shd w:val="clear" w:color="auto" w:fill="F2F7FE"/>
            <w:tcMar>
              <w:top w:w="110" w:type="dxa"/>
              <w:left w:w="120" w:type="dxa"/>
              <w:bottom w:w="110" w:type="dxa"/>
              <w:right w:w="120" w:type="dxa"/>
            </w:tcMar>
          </w:tcPr>
          <w:p>
            <w:pPr>
              <w:keepNext w:val="0"/>
              <w:keepLines/>
              <w:pageBreakBefore w:val="0"/>
              <w:widowControl w:val="1"/>
              <w:spacing w:before="0" w:after="0" w:line="252" w:lineRule="auto"/>
            </w:pPr>
            <w:r>
              <w:rPr>
                <w:rFonts w:ascii="Calibri" w:hAnsi="Calibri" w:cs="Calibri" w:eastAsia="Calibri"/>
                <w:b/>
                <w:i w:val="0"/>
                <w:color w:val="0C2340"/>
                <w:sz w:val="32"/>
                <w:u w:val="none"/>
              </w:rPr>
              <w:t>63.4%</w:t>
            </w:r>
          </w:p>
          <w:p>
            <w:pPr>
              <w:keepNext w:val="0"/>
              <w:keepLines/>
              <w:pageBreakBefore w:val="0"/>
              <w:widowControl w:val="1"/>
              <w:spacing w:before="40" w:after="0" w:line="288" w:lineRule="auto"/>
            </w:pPr>
            <w:r>
              <w:rPr>
                <w:rFonts w:ascii="Calibri" w:hAnsi="Calibri" w:cs="Calibri" w:eastAsia="Calibri"/>
                <w:b w:val="0"/>
                <w:i w:val="0"/>
                <w:color w:val="4C5B73"/>
                <w:sz w:val="14"/>
                <w:u w:val="none"/>
              </w:rPr>
              <w:t>Portfolio</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02   Position today</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Current structure</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Current facilities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facilities"/>
        <w:tblDescription w:val="Columns: Facility, Security, Limit, Balance, Rate, Type, Expiry"/>
      </w:tblPr>
      <w:tblGrid>
        <w:gridCol w:w="1312"/>
        <w:gridCol w:w="2624"/>
        <w:gridCol w:w="1312"/>
        <w:gridCol w:w="1312"/>
        <w:gridCol w:w="1009"/>
        <w:gridCol w:w="1413"/>
        <w:gridCol w:w="1110"/>
      </w:tblGrid>
      <w:tr>
        <w:trPr>
          <w:cantSplit/>
          <w:trHeight w:val="420" w:hRule="atLeast"/>
          <w:tblHeader/>
        </w:trPr>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62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1312"/>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Balance</w:t>
            </w:r>
          </w:p>
        </w:tc>
        <w:tc>
          <w:tcPr>
            <w:tcW w:type="dxa" w:w="100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Rate</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c>
          <w:tcPr>
            <w:tcW w:type="dxa" w:w="1110"/>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Expiry</w:t>
            </w:r>
          </w:p>
        </w:tc>
      </w:tr>
      <w:tr>
        <w:trPr>
          <w:cantSplit/>
          <w:trHeight w:val="397" w:hRule="atLeast"/>
        </w:trPr>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Facility 1</w:t>
            </w:r>
          </w:p>
        </w:tc>
        <w:tc>
          <w:tcPr>
            <w:tcW w:type="dxa" w:w="26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 + 12 Sample Ave</w:t>
            </w:r>
          </w:p>
        </w:tc>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$801,000</w:t>
            </w:r>
          </w:p>
        </w:tc>
        <w:tc>
          <w:tcPr>
            <w:tcW w:type="dxa" w:w="131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$789,400</w:t>
            </w:r>
          </w:p>
        </w:tc>
        <w:tc>
          <w:tcPr>
            <w:tcW w:type="dxa" w:w="100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6.44%</w:t>
            </w:r>
          </w:p>
        </w:tc>
        <w:tc>
          <w:tcPr>
            <w:tcW w:type="dxa" w:w="1413"/>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c>
          <w:tcPr>
            <w:tcW w:type="dxa" w:w="1110"/>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w:t>
            </w:r>
          </w:p>
        </w:tc>
      </w:tr>
      <w:tr>
        <w:trPr>
          <w:cantSplit/>
          <w:trHeight w:val="397" w:hRule="atLeast"/>
        </w:trPr>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Facility 2</w:t>
            </w:r>
          </w:p>
        </w:tc>
        <w:tc>
          <w:tcPr>
            <w:tcW w:type="dxa" w:w="26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21 Test Rd + 9 Demo Cl</w:t>
            </w:r>
          </w:p>
        </w:tc>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$1,062,000</w:t>
            </w:r>
          </w:p>
        </w:tc>
        <w:tc>
          <w:tcPr>
            <w:tcW w:type="dxa" w:w="1312"/>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$1,057,600</w:t>
            </w:r>
          </w:p>
        </w:tc>
        <w:tc>
          <w:tcPr>
            <w:tcW w:type="dxa" w:w="100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jc w:val="right"/>
            </w:pPr>
            <w:r>
              <w:rPr>
                <w:rFonts w:ascii="Calibri" w:hAnsi="Calibri" w:cs="Calibri" w:eastAsia="Calibri"/>
                <w:b w:val="0"/>
                <w:i w:val="0"/>
                <w:color w:val="10192A"/>
                <w:sz w:val="17"/>
                <w:u w:val="none"/>
              </w:rPr>
              <w:t>6.58%</w:t>
            </w:r>
          </w:p>
        </w:tc>
        <w:tc>
          <w:tcPr>
            <w:tcW w:type="dxa" w:w="1413"/>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IO fixed</w:t>
            </w:r>
          </w:p>
        </w:tc>
        <w:tc>
          <w:tcPr>
            <w:tcW w:type="dxa" w:w="1110"/>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keepLines/>
              <w:pageBreakBefore w:val="0"/>
              <w:widowControl w:val="1"/>
              <w:spacing w:before="0" w:after="0" w:line="293" w:lineRule="auto"/>
            </w:pPr>
            <w:r>
              <w:rPr>
                <w:rFonts w:ascii="Calibri" w:hAnsi="Calibri" w:cs="Calibri" w:eastAsia="Calibri"/>
                <w:b w:val="0"/>
                <w:i w:val="0"/>
                <w:color w:val="10192A"/>
                <w:sz w:val="17"/>
                <w:u w:val="none"/>
              </w:rPr>
              <w:t>03/2027</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Both facilities are cross-collateralised. No property can be released, sold or revalued independently under this structure.</w:t>
      </w:r>
    </w:p>
    <w:p>
      <w:pPr>
        <w:keepNext w:val="0"/>
        <w:keepLines/>
        <w:pageBreakBefore w:val="0"/>
        <w:widowControl w:val="1"/>
        <w:spacing w:before="0" w:after="0" w:line="126"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single" w:sz="4" w:space="0" w:color="DCE3ED"/>
              <w:left w:val="single" w:sz="18" w:space="0" w:color="1D6FE0"/>
              <w:bottom w:val="single" w:sz="4" w:space="0" w:color="DCE3ED"/>
              <w:right w:val="single" w:sz="4" w:space="0" w:color="DCE3ED"/>
            </w:tcBorders>
            <w:shd w:val="clear" w:color="auto" w:fill="F7F9FC"/>
            <w:tcMar>
              <w:top w:w="189" w:type="dxa"/>
              <w:left w:w="220" w:type="dxa"/>
              <w:bottom w:w="189" w:type="dxa"/>
              <w:right w:w="220" w:type="dxa"/>
            </w:tcMar>
          </w:tcPr>
          <w:p>
            <w:pPr>
              <w:keepNext/>
              <w:keepLines/>
              <w:pageBreakBefore w:val="0"/>
              <w:widowControl w:val="1"/>
              <w:spacing w:before="0" w:after="80"/>
            </w:pPr>
            <w:r>
              <w:rPr>
                <w:rFonts w:ascii="Calibri" w:hAnsi="Calibri" w:cs="Calibri" w:eastAsia="Calibri"/>
                <w:b/>
                <w:i w:val="0"/>
                <w:caps w:val="1"/>
                <w:color w:val="1D6FE0"/>
                <w:spacing w:val="32"/>
                <w:sz w:val="15"/>
                <w:u w:val="none"/>
              </w:rPr>
              <w:t>Goals &amp; constraints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2297"/>
              <w:gridCol w:w="7275"/>
            </w:tblGrid>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Objective</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Acquire two further investment properties over 24 months</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Total portfolio LVR must remain below 70%</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Constraint</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No additional cash contribution available</w:t>
                  </w:r>
                </w:p>
              </w:tc>
            </w:tr>
            <w:tr>
              <w:trPr>
                <w:cantSplit/>
                <w:trHeight w:val="431" w:hRule="atLeast"/>
              </w:trPr>
              <w:tc>
                <w:tcPr>
                  <w:tcW w:type="dxa" w:w="2297"/>
                  <w:tcBorders>
                    <w:top w:val="single" w:sz="4" w:space="0" w:color="FFFFFF"/>
                    <w:left w:val="nil"/>
                    <w:bottom w:val="single" w:sz="4" w:space="0" w:color="FFFFFF"/>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69" w:lineRule="auto"/>
                  </w:pPr>
                  <w:r>
                    <w:rPr>
                      <w:rFonts w:ascii="Calibri" w:hAnsi="Calibri" w:cs="Calibri" w:eastAsia="Calibri"/>
                      <w:b/>
                      <w:i w:val="0"/>
                      <w:caps w:val="1"/>
                      <w:color w:val="10192A"/>
                      <w:spacing w:val="16"/>
                      <w:sz w:val="15"/>
                      <w:u w:val="none"/>
                    </w:rPr>
                    <w:t>Preference</w:t>
                  </w:r>
                </w:p>
              </w:tc>
              <w:tc>
                <w:tcPr>
                  <w:tcW w:type="dxa" w:w="7275"/>
                  <w:tcBorders>
                    <w:top w:val="single" w:sz="4" w:space="0" w:color="FFFFFF"/>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8" w:lineRule="auto"/>
                  </w:pPr>
                  <w:r>
                    <w:rPr>
                      <w:rFonts w:ascii="Calibri" w:hAnsi="Calibri" w:cs="Calibri" w:eastAsia="Calibri"/>
                      <w:b w:val="0"/>
                      <w:i w:val="0"/>
                      <w:color w:val="10192A"/>
                      <w:sz w:val="17"/>
                      <w:u w:val="none"/>
                    </w:rPr>
                    <w:t>Reduce exposure to a single lender</w:t>
                  </w:r>
                </w:p>
              </w:tc>
            </w:tr>
          </w:tbl>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03   Target structure</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Where we are going</w:t>
            </w:r>
          </w:p>
        </w:tc>
      </w:tr>
    </w:tbl>
    <w:p>
      <w:pPr>
        <w:keepNext w:val="1"/>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Proposed facilities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Proposed facilities"/>
        <w:tblDescription w:val="Columns: Facility, Security, Limit, Purpose, Lender, Type"/>
      </w:tblPr>
      <w:tblGrid>
        <w:gridCol w:w="1168"/>
        <w:gridCol w:w="2124"/>
        <w:gridCol w:w="1381"/>
        <w:gridCol w:w="2549"/>
        <w:gridCol w:w="1381"/>
        <w:gridCol w:w="1487"/>
      </w:tblGrid>
      <w:tr>
        <w:trPr>
          <w:cantSplit/>
          <w:trHeight w:val="420" w:hRule="atLeast"/>
          <w:tblHeader/>
        </w:trPr>
        <w:tc>
          <w:tcPr>
            <w:tcW w:type="dxa" w:w="1168"/>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Facility</w:t>
            </w:r>
          </w:p>
        </w:tc>
        <w:tc>
          <w:tcPr>
            <w:tcW w:type="dxa" w:w="2124"/>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Security</w:t>
            </w:r>
          </w:p>
        </w:tc>
        <w:tc>
          <w:tcPr>
            <w:tcW w:type="dxa" w:w="138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jc w:val="right"/>
            </w:pPr>
            <w:r>
              <w:rPr>
                <w:rFonts w:ascii="Calibri" w:hAnsi="Calibri" w:cs="Calibri" w:eastAsia="Calibri"/>
                <w:b/>
                <w:i w:val="0"/>
                <w:caps w:val="1"/>
                <w:color w:val="FFFFFF"/>
                <w:spacing w:val="20"/>
                <w:sz w:val="15"/>
                <w:u w:val="none"/>
              </w:rPr>
              <w:t>Limit</w:t>
            </w:r>
          </w:p>
        </w:tc>
        <w:tc>
          <w:tcPr>
            <w:tcW w:type="dxa" w:w="2549"/>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Purpose</w:t>
            </w:r>
          </w:p>
        </w:tc>
        <w:tc>
          <w:tcPr>
            <w:tcW w:type="dxa" w:w="1381"/>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Lender</w:t>
            </w:r>
          </w:p>
        </w:tc>
        <w:tc>
          <w:tcPr>
            <w:tcW w:type="dxa" w:w="1487"/>
            <w:tcBorders>
              <w:top w:val="nil"/>
              <w:left w:val="nil"/>
              <w:bottom w:val="single" w:sz="8" w:space="0" w:color="1D6FE0"/>
              <w:right w:val="nil"/>
            </w:tcBorders>
            <w:shd w:val="clear" w:color="auto" w:fill="1554AE"/>
            <w:tcMar>
              <w:top w:w="105" w:type="dxa"/>
              <w:left w:w="147" w:type="dxa"/>
              <w:bottom w:w="105" w:type="dxa"/>
              <w:right w:w="147" w:type="dxa"/>
            </w:tcMar>
            <w:vAlign w:val="bottom"/>
          </w:tcPr>
          <w:p>
            <w:pPr>
              <w:keepNext w:val="0"/>
              <w:keepLines/>
              <w:pageBreakBefore w:val="0"/>
              <w:widowControl w:val="1"/>
              <w:spacing w:before="0" w:after="0" w:line="269" w:lineRule="auto"/>
            </w:pPr>
            <w:r>
              <w:rPr>
                <w:rFonts w:ascii="Calibri" w:hAnsi="Calibri" w:cs="Calibri" w:eastAsia="Calibri"/>
                <w:b/>
                <w:i w:val="0"/>
                <w:caps w:val="1"/>
                <w:color w:val="FFFFFF"/>
                <w:spacing w:val="20"/>
                <w:sz w:val="15"/>
                <w:u w:val="none"/>
              </w:rPr>
              <w:t>Type</w:t>
            </w:r>
          </w:p>
        </w:tc>
      </w:tr>
      <w:tr>
        <w:trPr>
          <w:cantSplit/>
          <w:trHeight w:val="397" w:hRule="atLeast"/>
        </w:trPr>
        <w:tc>
          <w:tcPr>
            <w:tcW w:type="dxa" w:w="116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A1</w:t>
            </w:r>
          </w:p>
        </w:tc>
        <w:tc>
          <w:tcPr>
            <w:tcW w:type="dxa" w:w="21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4 Example St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$412,000</w:t>
            </w:r>
          </w:p>
        </w:tc>
        <w:tc>
          <w:tcPr>
            <w:tcW w:type="dxa" w:w="25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A2</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12 Sample Ave</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$389,000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A</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r>
        <w:trPr>
          <w:cantSplit/>
          <w:trHeight w:val="397" w:hRule="atLeast"/>
        </w:trPr>
        <w:tc>
          <w:tcPr>
            <w:tcW w:type="dxa" w:w="1168"/>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B1</w:t>
            </w:r>
          </w:p>
        </w:tc>
        <w:tc>
          <w:tcPr>
            <w:tcW w:type="dxa" w:w="2124"/>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$524,000</w:t>
            </w:r>
          </w:p>
        </w:tc>
        <w:tc>
          <w:tcPr>
            <w:tcW w:type="dxa" w:w="2549"/>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B2</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9 Demo Close</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$522,000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Standalone investment</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P&amp;I variable</w:t>
            </w:r>
          </w:p>
        </w:tc>
      </w:tr>
      <w:tr>
        <w:trPr>
          <w:cantSplit/>
          <w:trHeight w:val="397" w:hRule="atLeast"/>
        </w:trPr>
        <w:tc>
          <w:tcPr>
            <w:tcW w:type="dxa" w:w="1168"/>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i w:val="0"/>
                <w:color w:val="10192A"/>
                <w:sz w:val="17"/>
                <w:u w:val="none"/>
              </w:rPr>
              <w:t>B3</w:t>
            </w:r>
          </w:p>
        </w:tc>
        <w:tc>
          <w:tcPr>
            <w:tcW w:type="dxa" w:w="2124"/>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21 Test Rd (2nd)</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jc w:val="right"/>
            </w:pPr>
            <w:r>
              <w:rPr>
                <w:rFonts w:ascii="Calibri" w:hAnsi="Calibri" w:cs="Calibri" w:eastAsia="Calibri"/>
                <w:b w:val="0"/>
                <w:i w:val="0"/>
                <w:color w:val="10192A"/>
                <w:sz w:val="17"/>
                <w:u w:val="none"/>
              </w:rPr>
              <w:t>$340,000</w:t>
            </w:r>
          </w:p>
        </w:tc>
        <w:tc>
          <w:tcPr>
            <w:tcW w:type="dxa" w:w="2549"/>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Equity release — deposits</w:t>
            </w:r>
          </w:p>
        </w:tc>
        <w:tc>
          <w:tcPr>
            <w:tcW w:type="dxa" w:w="1381"/>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Lender B</w:t>
            </w:r>
          </w:p>
        </w:tc>
        <w:tc>
          <w:tcPr>
            <w:tcW w:type="dxa" w:w="1487"/>
            <w:tcBorders>
              <w:top w:val="nil"/>
              <w:left w:val="nil"/>
              <w:bottom w:val="single" w:sz="4" w:space="0" w:color="DCE3ED"/>
              <w:right w:val="nil"/>
            </w:tcBorders>
            <w:shd w:val="clear" w:color="auto" w:fill="F7F9FC"/>
            <w:tcMar>
              <w:top w:w="105" w:type="dxa"/>
              <w:left w:w="147" w:type="dxa"/>
              <w:bottom w:w="105" w:type="dxa"/>
              <w:right w:w="147" w:type="dxa"/>
            </w:tcMar>
            <w:vAlign w:val="top"/>
          </w:tcPr>
          <w:p>
            <w:pPr>
              <w:keepNext w:val="0"/>
              <w:keepLines/>
              <w:pageBreakBefore w:val="0"/>
              <w:widowControl w:val="1"/>
              <w:spacing w:before="0" w:after="0" w:line="293" w:lineRule="auto"/>
            </w:pPr>
            <w:r>
              <w:rPr>
                <w:rFonts w:ascii="Calibri" w:hAnsi="Calibri" w:cs="Calibri" w:eastAsia="Calibri"/>
                <w:b w:val="0"/>
                <w:i w:val="0"/>
                <w:color w:val="10192A"/>
                <w:sz w:val="17"/>
                <w:u w:val="none"/>
              </w:rPr>
              <w:t>IO variable</w:t>
            </w:r>
          </w:p>
        </w:tc>
      </w:tr>
    </w:tbl>
    <w:p>
      <w:pPr>
        <w:keepNext w:val="0"/>
        <w:keepLines/>
        <w:pageBreakBefore w:val="0"/>
        <w:widowControl w:val="1"/>
        <w:spacing w:before="0" w:after="0" w:line="126"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Current versus target</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Current versus target"/>
        <w:tblDescription w:val="Compares: Today, Target, Change"/>
      </w:tblPr>
      <w:tblGrid>
        <w:gridCol w:w="2624"/>
        <w:gridCol w:w="2489"/>
        <w:gridCol w:w="2489"/>
        <w:gridCol w:w="2489"/>
      </w:tblGrid>
      <w:tr>
        <w:trPr>
          <w:cantSplit/>
          <w:trHeight w:val="510" w:hRule="atLeast"/>
          <w:tblHeader/>
        </w:trPr>
        <w:tc>
          <w:tcPr>
            <w:tcW w:type="dxa" w:w="2624"/>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pPr>
          </w:p>
        </w:tc>
        <w:tc>
          <w:tcPr>
            <w:tcW w:type="dxa" w:w="2489"/>
            <w:tcBorders>
              <w:top w:val="nil"/>
              <w:left w:val="nil"/>
              <w:bottom w:val="single" w:sz="8" w:space="0" w:color="1D6FE0"/>
              <w:right w:val="single" w:sz="16" w:space="0" w:color="FFFFFF"/>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Today</w:t>
            </w:r>
          </w:p>
        </w:tc>
        <w:tc>
          <w:tcPr>
            <w:tcW w:type="dxa" w:w="2489"/>
            <w:tcBorders>
              <w:top w:val="nil"/>
              <w:left w:val="nil"/>
              <w:bottom w:val="single" w:sz="8" w:space="0" w:color="1D6FE0"/>
              <w:right w:val="single" w:sz="16" w:space="0" w:color="FFFFFF"/>
            </w:tcBorders>
            <w:shd w:val="clear" w:color="auto" w:fill="1D6FE0"/>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Target</w:t>
            </w:r>
          </w:p>
        </w:tc>
        <w:tc>
          <w:tcPr>
            <w:tcW w:type="dxa" w:w="2489"/>
            <w:tcBorders>
              <w:top w:val="nil"/>
              <w:left w:val="nil"/>
              <w:bottom w:val="single" w:sz="8" w:space="0" w:color="1D6FE0"/>
              <w:right w:val="nil"/>
            </w:tcBorders>
            <w:shd w:val="clear" w:color="auto" w:fill="1554AE"/>
            <w:tcMar>
              <w:top w:w="105" w:type="dxa"/>
              <w:left w:w="147" w:type="dxa"/>
              <w:bottom w:w="105" w:type="dxa"/>
              <w:right w:w="147" w:type="dxa"/>
            </w:tcMar>
            <w:vAlign w:val="center"/>
          </w:tcPr>
          <w:p>
            <w:pPr>
              <w:keepNext w:val="0"/>
              <w:keepLines/>
              <w:pageBreakBefore w:val="0"/>
              <w:widowControl w:val="1"/>
              <w:spacing w:before="0" w:after="0" w:line="274" w:lineRule="auto"/>
              <w:jc w:val="center"/>
            </w:pPr>
            <w:r>
              <w:rPr>
                <w:rFonts w:ascii="Calibri" w:hAnsi="Calibri" w:cs="Calibri" w:eastAsia="Calibri"/>
                <w:b/>
                <w:i w:val="0"/>
                <w:caps w:val="1"/>
                <w:color w:val="FFFFFF"/>
                <w:spacing w:val="20"/>
                <w:sz w:val="16"/>
                <w:u w:val="none"/>
              </w:rPr>
              <w:t>Change</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Facilities</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Lenders</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2</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Cross-collateralised</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Yes — all four</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No</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Removed</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Blended rate</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6.52%</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6.18%</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−0.34%</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Annual interest</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$120,424</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$115,146</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−$5,278</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Usable equity accessible</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$0</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$340,000</w:t>
            </w:r>
          </w:p>
        </w:tc>
        <w:tc>
          <w:tcPr>
            <w:tcW w:type="dxa" w:w="2489"/>
            <w:tcBorders>
              <w:top w:val="nil"/>
              <w:left w:val="nil"/>
              <w:bottom w:val="single" w:sz="4" w:space="0" w:color="DCE3ED"/>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+$340,000</w:t>
            </w:r>
          </w:p>
        </w:tc>
      </w:tr>
      <w:tr>
        <w:trPr>
          <w:cantSplit/>
        </w:trPr>
        <w:tc>
          <w:tcPr>
            <w:tcW w:type="dxa" w:w="2624"/>
            <w:tcBorders>
              <w:top w:val="nil"/>
              <w:left w:val="nil"/>
              <w:bottom w:val="single" w:sz="4" w:space="0" w:color="DCE3ED"/>
              <w:right w:val="nil"/>
            </w:tcBorders>
            <w:shd w:val="clear" w:color="auto" w:fill="EDF1F7"/>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10192A"/>
                <w:spacing w:val="16"/>
                <w:sz w:val="15"/>
                <w:u w:val="none"/>
              </w:rPr>
              <w:t>Portfolio LVR</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63.4%</w:t>
            </w:r>
          </w:p>
        </w:tc>
        <w:tc>
          <w:tcPr>
            <w:tcW w:type="dxa" w:w="2489"/>
            <w:tcBorders>
              <w:top w:val="nil"/>
              <w:left w:val="nil"/>
              <w:bottom w:val="single" w:sz="4" w:space="0" w:color="DCE3ED"/>
              <w:right w:val="nil"/>
            </w:tcBorders>
            <w:shd w:val="clear" w:color="auto" w:fill="F2F7FE"/>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69.1%</w:t>
            </w:r>
          </w:p>
        </w:tc>
        <w:tc>
          <w:tcPr>
            <w:tcW w:type="dxa" w:w="2489"/>
            <w:tcBorders>
              <w:top w:val="nil"/>
              <w:left w:val="nil"/>
              <w:bottom w:val="single" w:sz="4" w:space="0" w:color="DCE3ED"/>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jc w:val="center"/>
            </w:pPr>
            <w:r>
              <w:rPr>
                <w:rFonts w:ascii="Calibri" w:hAnsi="Calibri" w:cs="Calibri" w:eastAsia="Calibri"/>
                <w:b w:val="0"/>
                <w:i w:val="0"/>
                <w:color w:val="10192A"/>
                <w:sz w:val="17"/>
                <w:u w:val="none"/>
              </w:rPr>
              <w:t>+5.7%</w:t>
            </w:r>
          </w:p>
        </w:tc>
      </w:tr>
    </w:tbl>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04   Sequencing</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The order matters</w:t>
            </w:r>
          </w:p>
        </w:tc>
      </w:tr>
    </w:tbl>
    <w:p>
      <w:pPr>
        <w:keepNext w:val="1"/>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680"/>
        <w:gridCol w:w="2268"/>
        <w:gridCol w:w="7143"/>
      </w:tblGrid>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1</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Valuations</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Order upfront valuations on all four assets with Lender B.</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2</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Split</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Refinance 21 Test Rd and 9 Demo Close to Lender B as standalone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3</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Unwind</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Release the remaining two securities from Facility 2 with Lender A.</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4</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Restructure</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Convert the Lender A exposure into two standalone facilities.</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5</w:t>
            </w:r>
          </w:p>
        </w:tc>
        <w:tc>
          <w:tcPr>
            <w:tcW w:type="dxa" w:w="2268"/>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Release</w:t>
            </w:r>
          </w:p>
        </w:tc>
        <w:tc>
          <w:tcPr>
            <w:tcW w:type="dxa" w:w="7143"/>
            <w:tcBorders>
              <w:top w:val="single" w:sz="4" w:space="0" w:color="FFFFFF"/>
              <w:left w:val="nil"/>
              <w:bottom w:val="single" w:sz="4" w:space="0" w:color="FFFFFF"/>
              <w:right w:val="nil"/>
            </w:tcBorders>
            <w:shd w:val="clear" w:color="auto" w:fill="FFFFFF"/>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Establish the $340,000 equity release facility against 21 Test Rd.</w:t>
            </w:r>
          </w:p>
        </w:tc>
      </w:tr>
      <w:tr>
        <w:trPr>
          <w:cantSplit/>
          <w:trHeight w:val="488" w:hRule="atLeast"/>
        </w:trPr>
        <w:tc>
          <w:tcPr>
            <w:tcW w:type="dxa" w:w="680"/>
            <w:tcBorders>
              <w:top w:val="single" w:sz="4" w:space="0" w:color="FFFFFF"/>
              <w:left w:val="nil"/>
              <w:bottom w:val="single" w:sz="4" w:space="0" w:color="FFFFFF"/>
              <w:right w:val="nil"/>
            </w:tcBorders>
            <w:shd w:val="clear" w:color="auto" w:fill="0C2340"/>
            <w:tcMar>
              <w:top w:w="80" w:type="dxa"/>
              <w:left w:w="40" w:type="dxa"/>
              <w:bottom w:w="80" w:type="dxa"/>
              <w:right w:w="40" w:type="dxa"/>
            </w:tcMar>
            <w:vAlign w:val="center"/>
          </w:tcPr>
          <w:p>
            <w:pPr>
              <w:keepNext w:val="0"/>
              <w:keepLines/>
              <w:pageBreakBefore w:val="0"/>
              <w:widowControl w:val="1"/>
              <w:spacing w:before="0" w:after="0"/>
              <w:jc w:val="center"/>
            </w:pPr>
            <w:r>
              <w:rPr>
                <w:rFonts w:ascii="Calibri" w:hAnsi="Calibri" w:cs="Calibri" w:eastAsia="Calibri"/>
                <w:b/>
                <w:i w:val="0"/>
                <w:color w:val="1D6FE0"/>
                <w:sz w:val="21"/>
                <w:u w:val="none"/>
              </w:rPr>
              <w:t>6</w:t>
            </w:r>
          </w:p>
        </w:tc>
        <w:tc>
          <w:tcPr>
            <w:tcW w:type="dxa" w:w="2268"/>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74" w:lineRule="auto"/>
            </w:pPr>
            <w:r>
              <w:rPr>
                <w:rFonts w:ascii="Calibri" w:hAnsi="Calibri" w:cs="Calibri" w:eastAsia="Calibri"/>
                <w:b/>
                <w:i w:val="0"/>
                <w:caps w:val="1"/>
                <w:color w:val="0C2340"/>
                <w:spacing w:val="22"/>
                <w:sz w:val="16"/>
                <w:u w:val="none"/>
              </w:rPr>
              <w:t>Deploy</w:t>
            </w:r>
          </w:p>
        </w:tc>
        <w:tc>
          <w:tcPr>
            <w:tcW w:type="dxa" w:w="7143"/>
            <w:tcBorders>
              <w:top w:val="single" w:sz="4" w:space="0" w:color="FFFFFF"/>
              <w:left w:val="nil"/>
              <w:bottom w:val="single" w:sz="4" w:space="0" w:color="FFFFFF"/>
              <w:right w:val="nil"/>
            </w:tcBorders>
            <w:shd w:val="clear" w:color="auto" w:fill="F7F9FC"/>
            <w:tcMar>
              <w:top w:w="105" w:type="dxa"/>
              <w:left w:w="147" w:type="dxa"/>
              <w:bottom w:w="105" w:type="dxa"/>
              <w:right w:w="147" w:type="dxa"/>
            </w:tcMar>
            <w:vAlign w:val="center"/>
          </w:tcPr>
          <w:p>
            <w:pPr>
              <w:keepNext w:val="0"/>
              <w:keepLines/>
              <w:pageBreakBefore w:val="0"/>
              <w:widowControl w:val="1"/>
              <w:spacing w:before="0" w:after="0" w:line="288" w:lineRule="auto"/>
            </w:pPr>
            <w:r>
              <w:rPr>
                <w:rFonts w:ascii="Calibri" w:hAnsi="Calibri" w:cs="Calibri" w:eastAsia="Calibri"/>
                <w:b w:val="0"/>
                <w:i w:val="0"/>
                <w:color w:val="10192A"/>
                <w:sz w:val="17"/>
                <w:u w:val="none"/>
              </w:rPr>
              <w:t>Funds available for the next two acquisitions.</w:t>
            </w:r>
          </w:p>
        </w:tc>
      </w:tr>
    </w:tbl>
    <w:p>
      <w:pPr>
        <w:keepNext w:val="0"/>
        <w:keepLines/>
        <w:pageBreakBefore w:val="0"/>
        <w:widowControl w:val="1"/>
        <w:spacing w:before="0" w:after="0" w:line="18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Height w:val="3061" w:hRule="atLeast"/>
        </w:trPr>
        <w:tc>
          <w:tcPr>
            <w:tcW w:type="dxa" w:w="10091"/>
            <w:tcBorders>
              <w:top w:val="single" w:sz="4" w:space="0" w:color="C2CDDC"/>
              <w:left w:val="single" w:sz="4" w:space="0" w:color="C2CDDC"/>
              <w:bottom w:val="single" w:sz="4" w:space="0" w:color="C2CDDC"/>
              <w:right w:val="single" w:sz="4" w:space="0" w:color="C2CDDC"/>
            </w:tcBorders>
            <w:shd w:val="clear" w:color="auto" w:fill="F7F9FC"/>
            <w:tcMar>
              <w:top w:w="150" w:type="dxa"/>
              <w:left w:w="180" w:type="dxa"/>
              <w:bottom w:w="150" w:type="dxa"/>
              <w:right w:w="180" w:type="dxa"/>
            </w:tcMar>
            <w:vAlign w:val="center"/>
          </w:tcPr>
          <w:p>
            <w:pPr>
              <w:keepNext w:val="0"/>
              <w:keepLines/>
              <w:pageBreakBefore w:val="0"/>
              <w:widowControl w:val="1"/>
              <w:spacing w:before="0" w:after="60"/>
              <w:jc w:val="center"/>
            </w:pPr>
            <w:r>
              <w:rPr>
                <w:rFonts w:ascii="Calibri" w:hAnsi="Calibri" w:cs="Calibri" w:eastAsia="Calibri"/>
                <w:b/>
                <w:i w:val="0"/>
                <w:color w:val="0C2340"/>
                <w:sz w:val="18"/>
                <w:u w:val="none"/>
              </w:rPr>
              <w:t>Funding runway</w:t>
            </w:r>
          </w:p>
          <w:p>
            <w:pPr>
              <w:keepNext w:val="0"/>
              <w:keepLines/>
              <w:pageBreakBefore w:val="0"/>
              <w:widowControl w:val="1"/>
              <w:spacing w:before="0" w:after="60"/>
              <w:jc w:val="center"/>
            </w:pPr>
            <w:r>
              <w:rPr>
                <w:rFonts w:ascii="Calibri" w:hAnsi="Calibri" w:cs="Calibri" w:eastAsia="Calibri"/>
                <w:b/>
                <w:i w:val="0"/>
                <w:caps w:val="1"/>
                <w:color w:val="1D6FE0"/>
                <w:spacing w:val="36"/>
                <w:sz w:val="15"/>
                <w:u w:val="none"/>
              </w:rPr>
              <w:t>[  STACKED COLUMN CHART  ]</w:t>
            </w:r>
          </w:p>
          <w:p>
            <w:pPr>
              <w:keepNext/>
              <w:keepLines/>
              <w:pageBreakBefore w:val="0"/>
              <w:widowControl w:val="1"/>
              <w:spacing w:before="0" w:after="0"/>
              <w:jc w:val="center"/>
            </w:pPr>
            <w:r>
              <w:rPr>
                <w:rFonts w:ascii="Calibri" w:hAnsi="Calibri" w:cs="Calibri" w:eastAsia="Calibri"/>
                <w:b w:val="0"/>
                <w:i w:val="0"/>
                <w:color w:val="8493A8"/>
                <w:sz w:val="14"/>
                <w:u w:val="none"/>
              </w:rPr>
              <w:t>{{strategy.runway}}</w:t>
            </w:r>
          </w:p>
        </w:tc>
      </w:tr>
    </w:tbl>
    <w:p>
      <w:pPr>
        <w:keepNext w:val="0"/>
        <w:keepLines/>
        <w:pageBreakBefore w:val="0"/>
        <w:widowControl w:val="1"/>
        <w:spacing w:before="80" w:after="0" w:line="298" w:lineRule="auto"/>
      </w:pPr>
      <w:r>
        <w:rPr>
          <w:rFonts w:ascii="Calibri" w:hAnsi="Calibri" w:cs="Calibri" w:eastAsia="Calibri"/>
          <w:b w:val="0"/>
          <w:i/>
          <w:color w:val="8493A8"/>
          <w:sz w:val="14"/>
          <w:u w:val="none"/>
        </w:rPr>
        <w:t>Capacity released against planned acquisitions, 24 months   ·   Source: Aurixa funding model   ·   Alt text: Released equity covers both planned deposits with $42,000 headroom</w:t>
      </w:r>
    </w:p>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B3261E"/>
          <w:spacing w:val="32"/>
          <w:sz w:val="15"/>
          <w:u w:val="none"/>
        </w:rPr>
        <w:t>Risks and mitigations</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Caption w:val="Risks and mitigations"/>
        <w:tblDescription w:val="Columns: Risk, Severity, Mitigation"/>
      </w:tblPr>
      <w:tblGrid>
        <w:gridCol w:w="4037"/>
        <w:gridCol w:w="1413"/>
        <w:gridCol w:w="4642"/>
      </w:tblGrid>
      <w:tr>
        <w:trPr>
          <w:cantSplit/>
          <w:tblHeader/>
        </w:trPr>
        <w:tc>
          <w:tcPr>
            <w:tcW w:type="dxa" w:w="4037"/>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Risk</w:t>
            </w:r>
          </w:p>
        </w:tc>
        <w:tc>
          <w:tcPr>
            <w:tcW w:type="dxa" w:w="1413"/>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Severity</w:t>
            </w:r>
          </w:p>
        </w:tc>
        <w:tc>
          <w:tcPr>
            <w:tcW w:type="dxa" w:w="4642"/>
            <w:tcBorders>
              <w:top w:val="nil"/>
              <w:left w:val="nil"/>
              <w:bottom w:val="single" w:sz="8" w:space="0" w:color="1D6FE0"/>
              <w:right w:val="nil"/>
            </w:tcBorders>
            <w:shd w:val="clear" w:color="auto" w:fill="1554AE"/>
            <w:tcMar>
              <w:top w:w="105" w:type="dxa"/>
              <w:left w:w="147" w:type="dxa"/>
              <w:bottom w:w="105" w:type="dxa"/>
              <w:right w:w="147" w:type="dxa"/>
            </w:tcMar>
          </w:tcPr>
          <w:p>
            <w:pPr>
              <w:keepNext w:val="0"/>
              <w:keepLines/>
              <w:pageBreakBefore w:val="0"/>
              <w:widowControl w:val="1"/>
              <w:spacing w:before="0" w:after="0"/>
            </w:pPr>
            <w:r>
              <w:rPr>
                <w:rFonts w:ascii="Calibri" w:hAnsi="Calibri" w:cs="Calibri" w:eastAsia="Calibri"/>
                <w:b/>
                <w:i w:val="0"/>
                <w:caps w:val="1"/>
                <w:color w:val="FFFFFF"/>
                <w:spacing w:val="22"/>
                <w:sz w:val="15"/>
                <w:u w:val="none"/>
              </w:rPr>
              <w:t>Mitigation</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Valuations come in below the assumed figures</w:t>
            </w:r>
          </w:p>
        </w:tc>
        <w:tc>
          <w:tcPr>
            <w:tcW w:type="dxa" w:w="1413"/>
            <w:tcBorders>
              <w:top w:val="nil"/>
              <w:left w:val="nil"/>
              <w:bottom w:val="single" w:sz="4" w:space="0" w:color="DCE3ED"/>
              <w:right w:val="nil"/>
            </w:tcBorders>
            <w:shd w:val="clear" w:color="auto" w:fill="FBECEA"/>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3261E"/>
                <w:sz w:val="17"/>
                <w:u w:val="none"/>
              </w:rPr>
              <w:t>▲  HIGH</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The equity release reduces proportionally. Order upfront valuations before committing to the refinance.</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Lender B policy changes during the 14-week sequence</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Obtain formal approval on all four facilities before discharging anything with Lender A.</w:t>
            </w:r>
          </w:p>
        </w:tc>
      </w:tr>
      <w:tr>
        <w:trPr>
          <w:cantSplit/>
        </w:trPr>
        <w:tc>
          <w:tcPr>
            <w:tcW w:type="dxa" w:w="4037"/>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costs on the fixed facility expiring 03/2027</w:t>
            </w:r>
          </w:p>
        </w:tc>
        <w:tc>
          <w:tcPr>
            <w:tcW w:type="dxa" w:w="1413"/>
            <w:tcBorders>
              <w:top w:val="nil"/>
              <w:left w:val="nil"/>
              <w:bottom w:val="single" w:sz="4" w:space="0" w:color="DCE3ED"/>
              <w:right w:val="nil"/>
            </w:tcBorders>
            <w:shd w:val="clear" w:color="auto" w:fill="FBF1E0"/>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i w:val="0"/>
                <w:color w:val="B26A00"/>
                <w:sz w:val="17"/>
                <w:u w:val="none"/>
              </w:rPr>
              <w:t>▲  MEDIUM</w:t>
            </w:r>
          </w:p>
        </w:tc>
        <w:tc>
          <w:tcPr>
            <w:tcW w:type="dxa" w:w="4642"/>
            <w:tcBorders>
              <w:top w:val="nil"/>
              <w:left w:val="nil"/>
              <w:bottom w:val="single" w:sz="4" w:space="0" w:color="DCE3ED"/>
              <w:right w:val="nil"/>
            </w:tcBorders>
            <w:shd w:val="clear" w:color="auto" w:fill="FFFFFF"/>
            <w:tcMar>
              <w:top w:w="105" w:type="dxa"/>
              <w:left w:w="147" w:type="dxa"/>
              <w:bottom w:w="105" w:type="dxa"/>
              <w:right w:w="147" w:type="dxa"/>
            </w:tcMar>
            <w:vAlign w:val="top"/>
          </w:tcPr>
          <w:p>
            <w:pPr>
              <w:keepNext w:val="0"/>
              <w:keepLines/>
              <w:pageBreakBefore w:val="0"/>
              <w:widowControl w:val="1"/>
              <w:spacing w:before="0" w:after="0" w:line="298" w:lineRule="auto"/>
            </w:pPr>
            <w:r>
              <w:rPr>
                <w:rFonts w:ascii="Calibri" w:hAnsi="Calibri" w:cs="Calibri" w:eastAsia="Calibri"/>
                <w:b w:val="0"/>
                <w:i w:val="0"/>
                <w:color w:val="10192A"/>
                <w:sz w:val="17"/>
                <w:u w:val="none"/>
              </w:rPr>
              <w:t>Break cost is estimated at $4,100. Sequence step 2 after the fixed period expires, or accept the cost against the $5,278 annual saving.</w:t>
            </w:r>
          </w:p>
        </w:tc>
      </w:tr>
    </w:tbl>
    <w:p>
      <w:pPr>
        <w:keepNext w:val="0"/>
        <w:keepLines/>
        <w:pageBreakBefore w:val="0"/>
        <w:widowControl w:val="1"/>
        <w:spacing w:before="0" w:after="0" w:line="180" w:lineRule="exact"/>
      </w:pPr>
      <w:r>
        <w:rPr>
          <w:sz w:val="2"/>
        </w:rPr>
      </w:r>
    </w:p>
    <w:p>
      <w:pPr>
        <w:keepNext/>
        <w:keepLines/>
        <w:pageBreakBefore w:val="0"/>
        <w:widowControl w:val="1"/>
        <w:spacing w:before="0" w:after="80"/>
      </w:pPr>
      <w:r>
        <w:rPr>
          <w:rFonts w:ascii="Calibri" w:hAnsi="Calibri" w:cs="Calibri" w:eastAsia="Calibri"/>
          <w:b/>
          <w:i w:val="0"/>
          <w:caps w:val="1"/>
          <w:color w:val="4C5B73"/>
          <w:spacing w:val="32"/>
          <w:sz w:val="15"/>
          <w:u w:val="none"/>
        </w:rPr>
        <w:t>What we need from you</w:t>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you accept the estimated $4,100 break cost.</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Provide the last two years of tax returns for both applicants.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Authorise upfront valuations on all four properties.</w:t>
            </w:r>
          </w:p>
        </w:tc>
      </w:tr>
      <w:tr>
        <w:trPr>
          <w:cantSplit/>
        </w:trPr>
        <w:tc>
          <w:tcPr>
            <w:tcW w:type="dxa" w:w="10091"/>
            <w:tcBorders>
              <w:top w:val="nil"/>
              <w:left w:val="nil"/>
              <w:bottom w:val="single" w:sz="4" w:space="0" w:color="DCE3ED"/>
              <w:right w:val="nil"/>
            </w:tcBorders>
            <w:tcMar>
              <w:top w:w="105" w:type="dxa"/>
              <w:left w:w="147" w:type="dxa"/>
              <w:bottom w:w="105" w:type="dxa"/>
              <w:right w:w="147" w:type="dxa"/>
            </w:tcMar>
          </w:tcPr>
          <w:p>
            <w:pPr>
              <w:keepNext w:val="0"/>
              <w:keepLines/>
              <w:pageBreakBefore w:val="0"/>
              <w:widowControl w:val="1"/>
              <w:spacing w:before="0" w:after="0" w:line="288" w:lineRule="auto"/>
              <w:ind w:left="240" w:hanging="240"/>
            </w:pPr>
            <w:r>
              <w:rPr>
                <w:rFonts w:ascii="Calibri" w:hAnsi="Calibri" w:cs="Calibri" w:eastAsia="Calibri"/>
                <w:b w:val="0"/>
                <w:i w:val="0"/>
                <w:color w:val="1D6FE0"/>
                <w:sz w:val="19"/>
                <w:u w:val="none"/>
              </w:rPr>
              <w:t xml:space="preserve">☐  </w:t>
            </w:r>
            <w:r>
              <w:rPr>
                <w:rFonts w:ascii="Calibri" w:hAnsi="Calibri" w:cs="Calibri" w:eastAsia="Calibri"/>
                <w:b w:val="0"/>
                <w:i w:val="0"/>
                <w:color w:val="10192A"/>
                <w:sz w:val="17"/>
                <w:u w:val="none"/>
              </w:rPr>
              <w:t>Confirm the target acquisition timeline has not changed.</w:t>
            </w:r>
          </w:p>
        </w:tc>
      </w:tr>
    </w:tbl>
    <w:p>
      <w:pPr>
        <w:keepNext w:val="0"/>
        <w:keepLines/>
        <w:pageBreakBefore w:val="1"/>
        <w:widowControl w:val="1"/>
        <w:spacing w:before="0" w:after="0" w:line="20" w:lineRule="exact"/>
        <w:rPr>
          <w:sz w:val="2"/>
        </w:rPr>
      </w:pP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10091"/>
      </w:tblGrid>
      <w:tr>
        <w:trPr>
          <w:cantSplit/>
        </w:trPr>
        <w:tc>
          <w:tcPr>
            <w:tcW w:type="dxa" w:w="10091"/>
            <w:shd w:val="clear" w:color="auto" w:fill="1D6FE0"/>
            <w:tcMar>
              <w:top w:w="60" w:type="dxa"/>
              <w:left w:w="150" w:type="dxa"/>
              <w:bottom w:w="60" w:type="dxa"/>
              <w:right w:w="150" w:type="dxa"/>
            </w:tcMar>
          </w:tcPr>
          <w:p>
            <w:pPr>
              <w:keepNext/>
              <w:keepLines/>
              <w:pageBreakBefore w:val="0"/>
              <w:widowControl w:val="1"/>
              <w:spacing w:before="0" w:after="0"/>
            </w:pPr>
            <w:r>
              <w:rPr>
                <w:rFonts w:ascii="Calibri" w:hAnsi="Calibri" w:cs="Calibri" w:eastAsia="Calibri"/>
                <w:b/>
                <w:i w:val="0"/>
                <w:caps w:val="1"/>
                <w:color w:val="FFFFFF"/>
                <w:spacing w:val="40"/>
                <w:sz w:val="16"/>
                <w:u w:val="none"/>
              </w:rPr>
              <w:t>Important information</w:t>
            </w:r>
          </w:p>
        </w:tc>
      </w:tr>
      <w:tr>
        <w:trPr>
          <w:cantSplit/>
        </w:trPr>
        <w:tc>
          <w:tcPr>
            <w:tcW w:type="dxa" w:w="10091"/>
            <w:tcBorders>
              <w:top w:val="nil"/>
              <w:left w:val="nil"/>
              <w:bottom w:val="single" w:sz="4" w:space="0" w:color="DCE3ED"/>
              <w:right w:val="nil"/>
            </w:tcBorders>
            <w:shd w:val="clear" w:color="auto" w:fill="F7F9FC"/>
            <w:tcMar>
              <w:top w:w="110" w:type="dxa"/>
              <w:left w:w="150" w:type="dxa"/>
              <w:bottom w:w="110" w:type="dxa"/>
              <w:right w:w="150" w:type="dxa"/>
            </w:tcMar>
          </w:tcPr>
          <w:p>
            <w:pPr>
              <w:keepNext/>
              <w:keepLines/>
              <w:pageBreakBefore w:val="0"/>
              <w:widowControl w:val="1"/>
              <w:spacing w:before="0" w:after="0"/>
            </w:pPr>
            <w:r>
              <w:rPr>
                <w:rFonts w:ascii="Calibri" w:hAnsi="Calibri" w:cs="Calibri" w:eastAsia="Calibri"/>
                <w:b/>
                <w:i w:val="0"/>
                <w:color w:val="0C2340"/>
                <w:sz w:val="25"/>
                <w:u w:val="none"/>
              </w:rPr>
              <w:t>Disclaimer, privacy and terms</w:t>
            </w:r>
          </w:p>
        </w:tc>
      </w:tr>
    </w:tbl>
    <w:p>
      <w:pPr>
        <w:keepNext w:val="1"/>
        <w:keepLines/>
        <w:pageBreakBefore w:val="0"/>
        <w:widowControl w:val="1"/>
        <w:spacing w:before="0" w:after="0" w:line="18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Disclaimer</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has been prepared for the named recipient only and is general in nature. It does not take into account any person's objectives, financial situation or needs, and it is not financial product, credit, tax or legal advice. Obtain your own professional advice before acting on it.</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Privacy</w:t>
      </w:r>
    </w:p>
    <w:p>
      <w:pPr>
        <w:keepNext w:val="0"/>
        <w:keepLines/>
        <w:pageBreakBefore w:val="0"/>
        <w:widowControl w:val="1"/>
        <w:spacing w:before="0" w:after="0" w:line="326" w:lineRule="auto"/>
      </w:pPr>
      <w:r>
        <w:rPr>
          <w:rFonts w:ascii="Calibri" w:hAnsi="Calibri" w:cs="Calibri" w:eastAsia="Calibri"/>
          <w:b w:val="0"/>
          <w:i w:val="0"/>
          <w:color w:val="4C5B73"/>
          <w:sz w:val="17"/>
          <w:u w:val="none"/>
        </w:rPr>
        <w:t>Personal information collected in connection with this document is handled in accordance with our privacy policy and applicable privacy law. It is used only for the purposes described in this document and for related compliance and record-keeping obligations.</w:t>
      </w:r>
    </w:p>
    <w:p>
      <w:pPr>
        <w:keepNext w:val="0"/>
        <w:keepLines/>
        <w:pageBreakBefore w:val="0"/>
        <w:widowControl w:val="1"/>
        <w:spacing w:before="0" w:after="0" w:line="100" w:lineRule="exact"/>
      </w:pPr>
      <w:r>
        <w:rPr>
          <w:sz w:val="2"/>
        </w:rPr>
      </w:r>
    </w:p>
    <w:p>
      <w:pPr>
        <w:keepNext/>
        <w:keepLines/>
        <w:pageBreakBefore w:val="0"/>
        <w:widowControl w:val="1"/>
        <w:spacing w:before="160" w:after="80"/>
      </w:pPr>
      <w:r>
        <w:rPr>
          <w:rFonts w:ascii="Calibri" w:hAnsi="Calibri" w:cs="Calibri" w:eastAsia="Calibri"/>
          <w:b/>
          <w:i w:val="0"/>
          <w:color w:val="0C2340"/>
          <w:sz w:val="21"/>
          <w:u w:val="none"/>
        </w:rPr>
        <w:t>Terms of use</w:t>
      </w:r>
    </w:p>
    <w:p>
      <w:pPr>
        <w:keepNext w:val="0"/>
        <w:keepLines/>
        <w:pageBreakBefore w:val="0"/>
        <w:widowControl w:val="1"/>
        <w:spacing w:before="0" w:after="0" w:line="326" w:lineRule="auto"/>
      </w:pPr>
      <w:r>
        <w:rPr>
          <w:rFonts w:ascii="Calibri" w:hAnsi="Calibri" w:cs="Calibri" w:eastAsia="Calibri"/>
          <w:b w:val="0"/>
          <w:i w:val="0"/>
          <w:color w:val="4C5B73"/>
          <w:sz w:val="17"/>
          <w:u w:val="none"/>
        </w:rPr>
        <w:t>This document remains our property and is provided in confidence. It may not be reproduced, forwarded or relied upon by any person other than the named recipient without our written consent.</w:t>
      </w:r>
    </w:p>
    <w:p>
      <w:pPr>
        <w:keepNext w:val="0"/>
        <w:keepLines/>
        <w:pageBreakBefore w:val="0"/>
        <w:widowControl w:val="1"/>
        <w:spacing w:before="0" w:after="0" w:line="100" w:lineRule="exact"/>
      </w:pPr>
      <w:r>
        <w:rPr>
          <w:sz w:val="2"/>
        </w:rPr>
      </w:r>
    </w:p>
    <w:sectPr w:rsidR="00FC693F" w:rsidRPr="0006063C" w:rsidSect="00034616">
      <w:headerReference w:type="first" r:id="rId9"/>
      <w:headerReference w:type="default" r:id="rId10"/>
      <w:footerReference w:type="default" r:id="rId11"/>
      <w:footerReference w:type="first" r:id="rId12"/>
      <w:pgSz w:w="11906" w:h="16838"/>
      <w:pgMar w:top="1361" w:right="907" w:bottom="1134" w:left="90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651"/>
      <w:gridCol w:w="4440"/>
    </w:tblGrid>
    <w:tr>
      <w:trPr>
        <w:cantSplit/>
      </w:trPr>
      <w:tc>
        <w:tcPr>
          <w:tcW w:type="dxa" w:w="5651"/>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pPr>
          <w:r>
            <w:rPr>
              <w:rFonts w:ascii="Calibri" w:hAnsi="Calibri" w:cs="Calibri" w:eastAsia="Calibri"/>
              <w:b/>
              <w:i w:val="0"/>
              <w:caps w:val="1"/>
              <w:color w:val="1D6FE0"/>
              <w:spacing w:val="32"/>
              <w:sz w:val="14"/>
              <w:u w:val="none"/>
            </w:rPr>
            <w:t>COMMERCIAL IN CONFIDENCE</w:t>
          </w:r>
          <w:r>
            <w:rPr>
              <w:rFonts w:ascii="Calibri" w:hAnsi="Calibri" w:cs="Calibri" w:eastAsia="Calibri"/>
              <w:b w:val="0"/>
              <w:i w:val="0"/>
              <w:color w:val="8493A8"/>
              <w:sz w:val="14"/>
              <w:u w:val="none"/>
            </w:rPr>
            <w:t xml:space="preserve">    APR-0418-01</w:t>
          </w:r>
        </w:p>
      </w:tc>
      <w:tc>
        <w:tcPr>
          <w:tcW w:type="dxa" w:w="4440"/>
          <w:tcBorders>
            <w:top w:val="nil"/>
            <w:left w:val="nil"/>
            <w:bottom w:val="nil"/>
            <w:right w:val="nil"/>
          </w:tcBorders>
          <w:tcMar>
            <w:top w:w="70" w:type="dxa"/>
            <w:left w:w="0" w:type="dxa"/>
            <w:bottom w:w="40" w:type="dxa"/>
            <w:right w:w="0" w:type="dxa"/>
          </w:tcMar>
        </w:tcPr>
        <w:p>
          <w:pPr>
            <w:keepNext w:val="0"/>
            <w:keepLines/>
            <w:pageBreakBefore w:val="0"/>
            <w:widowControl w:val="1"/>
            <w:spacing w:before="0" w:after="0"/>
            <w:jc w:val="right"/>
          </w:pPr>
          <w:r>
            <w:rPr>
              <w:rFonts w:ascii="Calibri" w:hAnsi="Calibri" w:cs="Calibri" w:eastAsia="Calibri"/>
              <w:b w:val="0"/>
              <w:i w:val="0"/>
              <w:color w:val="8493A8"/>
              <w:sz w:val="14"/>
              <w:u w:val="none"/>
            </w:rPr>
            <w:t xml:space="preserve">Aurixa Systems    |    </w:t>
          </w:r>
          <w:r>
            <w:rPr>
              <w:rFonts w:ascii="Calibri" w:hAnsi="Calibri" w:cs="Calibri" w:eastAsia="Calibri"/>
              <w:b/>
              <w:i w:val="0"/>
              <w:color w:val="4C5B73"/>
              <w:sz w:val="14"/>
              <w:u w:val="none"/>
            </w:rPr>
            <w:t>v1.0</w:t>
          </w:r>
          <w:r>
            <w:rPr>
              <w:rFonts w:ascii="Calibri" w:hAnsi="Calibri" w:cs="Calibri" w:eastAsia="Calibri"/>
              <w:b w:val="0"/>
              <w:i w:val="0"/>
              <w:color w:val="8493A8"/>
              <w:sz w:val="14"/>
              <w:u w:val="none"/>
            </w:rPr>
            <w:t xml:space="preserve">    |    Page </w:t>
          </w:r>
          <w:r>
            <w:rPr>
              <w:rFonts w:ascii="Calibri" w:hAnsi="Calibri" w:cs="Calibri" w:eastAsia="Calibri"/>
              <w:b/>
              <w:i w:val="0"/>
              <w:color w:val="4C5B73"/>
              <w:sz w:val="14"/>
              <w:u w:val="none"/>
            </w:rPr>
            <w:fldChar w:fldCharType="begin"/>
            <w:instrText xml:space="preserve"> PAGE </w:instrText>
            <w:fldChar w:fldCharType="separate"/>
            <w:fldChar w:fldCharType="end"/>
          </w:r>
          <w:r>
            <w:rPr>
              <w:rFonts w:ascii="Calibri" w:hAnsi="Calibri" w:cs="Calibri" w:eastAsia="Calibri"/>
              <w:b w:val="0"/>
              <w:i w:val="0"/>
              <w:color w:val="8493A8"/>
              <w:sz w:val="14"/>
              <w:u w:val="none"/>
            </w:rPr>
            <w:t xml:space="preserve"> of </w:t>
          </w:r>
          <w:r>
            <w:rPr>
              <w:rFonts w:ascii="Calibri" w:hAnsi="Calibri" w:cs="Calibri" w:eastAsia="Calibri"/>
              <w:b/>
              <w:i w:val="0"/>
              <w:color w:val="4C5B73"/>
              <w:sz w:val="14"/>
              <w:u w:val="none"/>
            </w:rPr>
            <w:fldChar w:fldCharType="begin"/>
            <w:instrText xml:space="preserve"> NUMPAGES </w:instrText>
            <w:fldChar w:fldCharType="separate"/>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keepLines/>
      <w:pageBreakBefore w:val="0"/>
      <w:widowControl w:val="1"/>
      <w:spacing w:before="0" w:after="0" w:line="20" w:lineRule="exact"/>
    </w:pPr>
    <w:r>
      <w:rPr>
        <w:sz w:val="2"/>
      </w:rPr>
    </w:r>
  </w:p>
  <w:tbl>
    <w:tblPr>
      <w:tblW w:type="auto" w:w="0"/>
      <w:jc w:val="center"/>
      <w:tblInd w:w="0" w:type="dxa"/>
      <w:tblBorders>
        <w:top w:val="nil"/>
        <w:left w:val="nil"/>
        <w:bottom w:val="nil"/>
        <w:right w:val="nil"/>
        <w:insideH w:val="nil"/>
        <w:insideV w:val="nil"/>
      </w:tblBorders>
      <w:tblLayout w:type="fixed"/>
      <w:tblLook w:firstColumn="1" w:firstRow="1" w:lastColumn="0" w:lastRow="0" w:noHBand="0" w:noVBand="1" w:val="04A0"/>
    </w:tblPr>
    <w:tblGrid>
      <w:gridCol w:w="5046"/>
      <w:gridCol w:w="5046"/>
    </w:tblGrid>
    <w:tr>
      <w:trPr>
        <w:cantSplit/>
      </w:trPr>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pPr>
          <w:r>
            <w:rPr>
              <w:rFonts w:ascii="Calibri" w:hAnsi="Calibri" w:cs="Calibri" w:eastAsia="Calibri"/>
              <w:b/>
              <w:i w:val="0"/>
              <w:caps w:val="1"/>
              <w:color w:val="4C5B73"/>
              <w:spacing w:val="32"/>
              <w:sz w:val="14"/>
              <w:u w:val="none"/>
            </w:rPr>
            <w:t>Aurixa Systems</w:t>
          </w:r>
        </w:p>
      </w:tc>
      <w:tc>
        <w:tcPr>
          <w:tcW w:type="dxa" w:w="5046"/>
          <w:tcBorders>
            <w:top w:val="nil"/>
            <w:left w:val="nil"/>
            <w:bottom w:val="single" w:sz="4" w:space="0" w:color="DCE3ED"/>
            <w:right w:val="nil"/>
          </w:tcBorders>
          <w:tcMar>
            <w:top w:w="0" w:type="dxa"/>
            <w:left w:w="0" w:type="dxa"/>
            <w:bottom w:w="70" w:type="dxa"/>
            <w:right w:w="0" w:type="dxa"/>
          </w:tcMar>
        </w:tcPr>
        <w:p>
          <w:pPr>
            <w:keepNext w:val="0"/>
            <w:keepLines/>
            <w:pageBreakBefore w:val="0"/>
            <w:widowControl w:val="1"/>
            <w:spacing w:before="0" w:after="0"/>
            <w:jc w:val="right"/>
          </w:pPr>
          <w:r>
            <w:rPr>
              <w:rFonts w:ascii="Calibri" w:hAnsi="Calibri" w:cs="Calibri" w:eastAsia="Calibri"/>
              <w:b/>
              <w:i w:val="0"/>
              <w:caps w:val="1"/>
              <w:color w:val="4C5B73"/>
              <w:spacing w:val="32"/>
              <w:sz w:val="14"/>
              <w:u w:val="none"/>
            </w:rPr>
            <w:t>Finance Strategy Report</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line="326" w:lineRule="auto"/>
    </w:pPr>
    <w:rPr>
      <w:rFonts w:ascii="Calibri" w:hAnsi="Calibri" w:cs="Calibri" w:eastAsia="Calibri"/>
      <w:color w:val="10192A"/>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Finance Strategy Report</dc:title>
  <dc:subject>The client's whole debt strategy: current structure, target structure, sequencing, and the funding runway for planned acquisitions.</dc:subject>
  <dc:creator>Aurixa Systems</dc:creator>
  <cp:keywords>Finance strategy, Debt structure, Funding plan, Finance &amp; Lending, Aurixa</cp:keywords>
  <dc:description>Generated by the Aurixa Command Center template library (scripts/aurixa-templates). Edit the builder and regenerate rather than editing this file by hand.</dc:description>
  <cp:lastModifiedBy>Aurixa Systems</cp:lastModifiedBy>
  <cp:revision>1</cp:revision>
  <dcterms:created xsi:type="dcterms:W3CDTF">2013-12-23T23:15:00Z</dcterms:created>
  <dcterms:modified xsi:type="dcterms:W3CDTF">2013-12-23T23:15:00Z</dcterms:modified>
  <cp:category>Aurixa Command Center template</cp:category>
</cp:coreProperties>
</file>