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150" w:type="dxa"/>
              <w:left w:w="200" w:type="dxa"/>
              <w:bottom w:w="11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2"/>
                <w:sz w:val="15"/>
                <w:u w:val="none"/>
              </w:rPr>
              <w:t>[  COVER IMAGE  —  1600 × 900 px minimum  ]</w:t>
            </w:r>
          </w:p>
          <w:p>
            <w:pPr>
              <w:keepNext w:val="0"/>
              <w:keepLines/>
              <w:pageBreakBefore w:val="0"/>
              <w:widowControl w:val="1"/>
              <w:spacing w:before="80" w:after="0"/>
              <w:jc w:val="center"/>
            </w:pPr>
            <w:r>
              <w:rPr>
                <w:rFonts w:ascii="Calibri" w:hAnsi="Calibri" w:cs="Calibri" w:eastAsia="Calibri"/>
                <w:b w:val="0"/>
                <w:i w:val="0"/>
                <w:color w:val="8493A8"/>
                <w:sz w:val="14"/>
                <w:u w:val="none"/>
              </w:rPr>
              <w:t>Builder render — Facade B</w:t>
            </w:r>
          </w:p>
        </w:tc>
      </w:tr>
    </w:tbl>
    <w:p>
      <w:pPr>
        <w:keepNext w:val="0"/>
        <w:keepLines/>
        <w:pageBreakBefore w:val="0"/>
        <w:widowControl w:val="1"/>
        <w:spacing w:before="0" w:after="0" w:line="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6690" w:hRule="atLeast"/>
        </w:trPr>
        <w:tc>
          <w:tcPr>
            <w:tcW w:type="dxa" w:w="10091"/>
            <w:tcBorders>
              <w:top w:val="single" w:sz="10" w:space="0" w:color="12B0CE"/>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36"/>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2B0CE"/>
                <w:spacing w:val="60"/>
                <w:sz w:val="16"/>
                <w:u w:val="none"/>
              </w:rPr>
              <w:t>Turnkey package assessment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House &amp; Land Package Assessment</w:t>
            </w:r>
          </w:p>
          <w:p>
            <w:pPr>
              <w:keepNext w:val="0"/>
              <w:keepLines/>
              <w:pageBreakBefore w:val="0"/>
              <w:widowControl w:val="1"/>
              <w:spacing w:before="0" w:after="0" w:line="322" w:lineRule="auto"/>
            </w:pPr>
            <w:r>
              <w:rPr>
                <w:rFonts w:ascii="Calibri" w:hAnsi="Calibri" w:cs="Calibri" w:eastAsia="Calibri"/>
                <w:b w:val="0"/>
                <w:i w:val="0"/>
                <w:color w:val="AFC0D6"/>
                <w:sz w:val="22"/>
                <w:u w:val="none"/>
              </w:rPr>
              <w:t>Lot 148, Riverbend Estate — land, build contract, inclusions, staged payments and the completed-value position.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ASSESSED</w:t>
                  </w:r>
                </w:p>
              </w:tc>
              <w:tc>
                <w:tcPr>
                  <w:tcW w:type="dxa" w:w="4309"/>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CONTRACT REVIEWED</w:t>
                  </w:r>
                </w:p>
              </w:tc>
            </w:tr>
          </w:tbl>
          <w:p/>
        </w:tc>
      </w:tr>
    </w:tbl>
    <w:p>
      <w:pPr>
        <w:keepNext w:val="0"/>
        <w:keepLines/>
        <w:pageBreakBefore w:val="0"/>
        <w:widowControl w:val="1"/>
        <w:spacing w:before="0" w:after="0" w:line="2494"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01</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Summary &amp; verdict</w:t>
            </w:r>
          </w:p>
          <w:p>
            <w:pPr>
              <w:keepNext/>
              <w:keepLines/>
              <w:pageBreakBefore w:val="0"/>
              <w:widowControl w:val="1"/>
              <w:spacing w:before="0" w:after="0"/>
            </w:pPr>
            <w:r>
              <w:rPr>
                <w:rFonts w:ascii="Calibri" w:hAnsi="Calibri" w:cs="Calibri" w:eastAsia="Calibri"/>
                <w:b w:val="0"/>
                <w:i w:val="0"/>
                <w:caps w:val="1"/>
                <w:color w:val="12B0CE"/>
                <w:spacing w:val="22"/>
                <w:sz w:val="14"/>
                <w:u w:val="none"/>
              </w:rPr>
              <w:t>Does the package stack up</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2B0CE"/>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Executive summary</w:t>
            </w:r>
          </w:p>
          <w:p>
            <w:pPr>
              <w:keepNext/>
              <w:keepLines/>
              <w:pageBreakBefore w:val="0"/>
              <w:widowControl w:val="1"/>
              <w:spacing w:before="0" w:after="120" w:line="293" w:lineRule="auto"/>
            </w:pPr>
            <w:r>
              <w:rPr>
                <w:rFonts w:ascii="Calibri" w:hAnsi="Calibri" w:cs="Calibri" w:eastAsia="Calibri"/>
                <w:b/>
                <w:i w:val="0"/>
                <w:color w:val="0C2340"/>
                <w:sz w:val="23"/>
                <w:u w:val="none"/>
              </w:rPr>
              <w:t>The package is priced $41,000 above comparable completed stock and should be renegotiated before contract.</w:t>
            </w:r>
          </w:p>
          <w:p>
            <w:pPr>
              <w:keepNext w:val="0"/>
              <w:keepLines/>
              <w:pageBreakBefore w:val="0"/>
              <w:widowControl w:val="1"/>
              <w:spacing w:before="0" w:after="0" w:line="317" w:lineRule="auto"/>
            </w:pPr>
            <w:r>
              <w:rPr>
                <w:rFonts w:ascii="Calibri" w:hAnsi="Calibri" w:cs="Calibri" w:eastAsia="Calibri"/>
                <w:b w:val="0"/>
                <w:i w:val="0"/>
                <w:color w:val="10192A"/>
                <w:sz w:val="19"/>
                <w:u w:val="none"/>
              </w:rPr>
              <w:t>The land and build together total $784,500. Three comparable completed dwellings of similar size in the same estate have sold between $726,000 and $752,000 in the last six months, which puts the package roughly 5.5% above the completed market.</w:t>
            </w:r>
          </w:p>
          <w:p>
            <w:pPr>
              <w:keepNext w:val="0"/>
              <w:keepLines/>
              <w:pageBreakBefore w:val="0"/>
              <w:widowControl w:val="1"/>
              <w:spacing w:before="100" w:after="0" w:line="317" w:lineRule="auto"/>
            </w:pPr>
            <w:r>
              <w:rPr>
                <w:rFonts w:ascii="Calibri" w:hAnsi="Calibri" w:cs="Calibri" w:eastAsia="Calibri"/>
                <w:b w:val="0"/>
                <w:i w:val="0"/>
                <w:color w:val="10192A"/>
                <w:sz w:val="19"/>
                <w:u w:val="none"/>
              </w:rPr>
              <w:t>The gap is concentrated in the upgrade schedule. $38,400 of upgrades has been added to a base contract of $412,000, and only about half of that spend is recoverable in a valuation.</w:t>
            </w:r>
          </w:p>
          <w:p>
            <w:pPr>
              <w:keepNext w:val="0"/>
              <w:keepLines/>
              <w:pageBreakBefore w:val="0"/>
              <w:widowControl w:val="1"/>
              <w:spacing w:before="100" w:after="0" w:line="317" w:lineRule="auto"/>
            </w:pPr>
            <w:r>
              <w:rPr>
                <w:rFonts w:ascii="Calibri" w:hAnsi="Calibri" w:cs="Calibri" w:eastAsia="Calibri"/>
                <w:b w:val="0"/>
                <w:i w:val="0"/>
                <w:color w:val="10192A"/>
                <w:sz w:val="19"/>
                <w:u w:val="none"/>
              </w:rPr>
              <w:t>Registration is the other exposure. The lot is not registered and the estimated registration date has already moved twice. A build cannot start before registration, and the fixed-price period on the build contract runs for only 180 days.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What this means</w:t>
            </w:r>
          </w:p>
          <w:p>
            <w:pPr>
              <w:keepNext w:val="0"/>
              <w:keepLines/>
              <w:pageBreakBefore w:val="0"/>
              <w:widowControl w:val="1"/>
              <w:spacing w:before="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Package is $41,000 above comparable completed stock.</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$38,400 of upgrades; approximately half is recoverable at valuation.</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Lot registration has slipped twice; the build price is fixed for 180 days only.</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Recommend renegotiating the upgrade schedule before signing.</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02</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Package metrics</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headline numbers</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LAND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BUILD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TOTAL</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COMPLETED VALUE</w:t>
            </w:r>
          </w:p>
        </w:tc>
      </w:tr>
      <w:tr>
        <w:trPr>
          <w:cantSplit/>
        </w:trPr>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$334,100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Lot 148, 448 m²</w:t>
            </w:r>
          </w:p>
        </w:tc>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$450,400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Incl. upgrades</w:t>
            </w:r>
          </w:p>
        </w:tc>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$784,500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Excl. acquisition costs</w:t>
            </w:r>
          </w:p>
        </w:tc>
        <w:tc>
          <w:tcPr>
            <w:tcW w:type="dxa" w:w="2523"/>
            <w:tcBorders>
              <w:bottom w:val="single" w:sz="8" w:space="0" w:color="12B0CE"/>
              <w:right w:val="nil"/>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$743,000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Est. — comparables</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03</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Land</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lot</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2B0CE"/>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Lot particulars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3"/>
              <w:gridCol w:w="2884"/>
              <w:gridCol w:w="1923"/>
              <w:gridCol w:w="2884"/>
            </w:tblGrid>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Lot and estate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Lot 148, Riverbend Estate, Stage 6</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Land area</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448 m²</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Frontage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12.5 m</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Orientation</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Rear north-east</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Registration status</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Unregistered</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Estimated registration</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Q2 2027 — revised twice</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Fall across the lot</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1.4 m — site costs allowed</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Covenants</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Design covenant; facade approval required</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Easements</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Drainage easement, 1.0 m rear</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Land price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$334,100</w:t>
                  </w:r>
                </w:p>
              </w:tc>
            </w:tr>
          </w:tbl>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04</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Build contract</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What is being contracted</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Contract terms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tract terms"/>
        <w:tblDescription w:val="Columns: Element, Position, Assessment"/>
      </w:tblPr>
      <w:tblGrid>
        <w:gridCol w:w="2608"/>
        <w:gridCol w:w="3175"/>
        <w:gridCol w:w="4309"/>
      </w:tblGrid>
      <w:tr>
        <w:trPr>
          <w:cantSplit/>
          <w:trHeight w:val="420" w:hRule="atLeast"/>
          <w:tblHeader/>
        </w:trPr>
        <w:tc>
          <w:tcPr>
            <w:tcW w:type="dxa" w:w="260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Element</w:t>
            </w:r>
          </w:p>
        </w:tc>
        <w:tc>
          <w:tcPr>
            <w:tcW w:type="dxa" w:w="317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4309"/>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Assessment</w:t>
            </w:r>
          </w:p>
        </w:tc>
      </w:tr>
      <w:tr>
        <w:trPr>
          <w:cantSplit/>
          <w:trHeight w:val="397" w:hRule="atLeast"/>
        </w:trPr>
        <w:tc>
          <w:tcPr>
            <w:tcW w:type="dxa" w:w="260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Contract type</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 price, HIA new homes</w:t>
            </w:r>
          </w:p>
        </w:tc>
        <w:tc>
          <w:tcPr>
            <w:tcW w:type="dxa" w:w="430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 no amendments sought</w:t>
            </w:r>
          </w:p>
        </w:tc>
      </w:tr>
      <w:tr>
        <w:trPr>
          <w:cantSplit/>
          <w:trHeight w:val="397" w:hRule="atLeast"/>
        </w:trPr>
        <w:tc>
          <w:tcPr>
            <w:tcW w:type="dxa" w:w="260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Base contract</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$412,000</w:t>
            </w:r>
          </w:p>
        </w:tc>
        <w:tc>
          <w:tcPr>
            <w:tcW w:type="dxa" w:w="430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Market rate for the floor plan</w:t>
            </w:r>
          </w:p>
        </w:tc>
      </w:tr>
      <w:tr>
        <w:trPr>
          <w:cantSplit/>
          <w:trHeight w:val="397" w:hRule="atLeast"/>
        </w:trPr>
        <w:tc>
          <w:tcPr>
            <w:tcW w:type="dxa" w:w="260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Upgrades</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$38,400</w:t>
            </w:r>
          </w:p>
        </w:tc>
        <w:tc>
          <w:tcPr>
            <w:tcW w:type="dxa" w:w="430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Approximately half recoverable at valuation</w:t>
            </w:r>
          </w:p>
        </w:tc>
      </w:tr>
      <w:tr>
        <w:trPr>
          <w:cantSplit/>
          <w:trHeight w:val="397" w:hRule="atLeast"/>
        </w:trPr>
        <w:tc>
          <w:tcPr>
            <w:tcW w:type="dxa" w:w="260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Fixed-price period</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180 days from signing</w:t>
            </w:r>
          </w:p>
        </w:tc>
        <w:tc>
          <w:tcPr>
            <w:tcW w:type="dxa" w:w="430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Expires before the estimated registration date</w:t>
            </w:r>
          </w:p>
        </w:tc>
      </w:tr>
      <w:tr>
        <w:trPr>
          <w:cantSplit/>
          <w:trHeight w:val="397" w:hRule="atLeast"/>
        </w:trPr>
        <w:tc>
          <w:tcPr>
            <w:tcW w:type="dxa" w:w="260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 period</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 weeks from slab</w:t>
            </w:r>
          </w:p>
        </w:tc>
        <w:tc>
          <w:tcPr>
            <w:tcW w:type="dxa" w:w="430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 for the builder</w:t>
            </w:r>
          </w:p>
        </w:tc>
      </w:tr>
      <w:tr>
        <w:trPr>
          <w:cantSplit/>
          <w:trHeight w:val="397" w:hRule="atLeast"/>
        </w:trPr>
        <w:tc>
          <w:tcPr>
            <w:tcW w:type="dxa" w:w="260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Liquidated damages</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$180 per week</w:t>
            </w:r>
          </w:p>
        </w:tc>
        <w:tc>
          <w:tcPr>
            <w:tcW w:type="dxa" w:w="430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Below the market rent forgone of $520</w:t>
            </w:r>
          </w:p>
        </w:tc>
      </w:tr>
      <w:tr>
        <w:trPr>
          <w:cantSplit/>
          <w:trHeight w:val="397" w:hRule="atLeast"/>
        </w:trPr>
        <w:tc>
          <w:tcPr>
            <w:tcW w:type="dxa" w:w="260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Provisional sums</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$14,200 — site costs</w:t>
            </w:r>
          </w:p>
        </w:tc>
        <w:tc>
          <w:tcPr>
            <w:tcW w:type="dxa" w:w="430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fixed; exposure if the fall is worse than surveyed</w:t>
            </w:r>
          </w:p>
        </w:tc>
      </w:tr>
      <w:tr>
        <w:trPr>
          <w:cantSplit/>
          <w:trHeight w:val="397" w:hRule="atLeast"/>
        </w:trPr>
        <w:tc>
          <w:tcPr>
            <w:tcW w:type="dxa" w:w="260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Prime cost items</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$9,600 — fixtures</w:t>
            </w:r>
          </w:p>
        </w:tc>
        <w:tc>
          <w:tcPr>
            <w:tcW w:type="dxa" w:w="430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Allowances are below the display level</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Provisional sums and prime cost items are estimates, not fixed prices. Together they represent $23,800 of open exposure.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05</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Inclusions &amp; upgrades</w:t>
            </w:r>
          </w:p>
          <w:p>
            <w:pPr>
              <w:keepNext/>
              <w:keepLines/>
              <w:pageBreakBefore w:val="0"/>
              <w:widowControl w:val="1"/>
              <w:spacing w:before="0" w:after="0"/>
            </w:pPr>
            <w:r>
              <w:rPr>
                <w:rFonts w:ascii="Calibri" w:hAnsi="Calibri" w:cs="Calibri" w:eastAsia="Calibri"/>
                <w:b w:val="0"/>
                <w:i w:val="0"/>
                <w:caps w:val="1"/>
                <w:color w:val="12B0CE"/>
                <w:spacing w:val="22"/>
                <w:sz w:val="14"/>
                <w:u w:val="none"/>
              </w:rPr>
              <w:t>Line by line</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Upgrade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Upgrade schedule"/>
        <w:tblDescription w:val="Columns: Item, Category, Included, Upgrade cost, Recoverable"/>
      </w:tblPr>
      <w:tblGrid>
        <w:gridCol w:w="3328"/>
        <w:gridCol w:w="1825"/>
        <w:gridCol w:w="1718"/>
        <w:gridCol w:w="1610"/>
        <w:gridCol w:w="1610"/>
      </w:tblGrid>
      <w:tr>
        <w:trPr>
          <w:cantSplit/>
          <w:trHeight w:val="420" w:hRule="atLeast"/>
          <w:tblHeader/>
        </w:trPr>
        <w:tc>
          <w:tcPr>
            <w:tcW w:type="dxa" w:w="33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82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Category</w:t>
            </w:r>
          </w:p>
        </w:tc>
        <w:tc>
          <w:tcPr>
            <w:tcW w:type="dxa" w:w="171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Included</w:t>
            </w:r>
          </w:p>
        </w:tc>
        <w:tc>
          <w:tcPr>
            <w:tcW w:type="dxa" w:w="1610"/>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Upgrade cost</w:t>
            </w:r>
          </w:p>
        </w:tc>
        <w:tc>
          <w:tcPr>
            <w:tcW w:type="dxa" w:w="1610"/>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Recoverable</w:t>
            </w:r>
          </w:p>
        </w:tc>
      </w:tr>
      <w:tr>
        <w:trPr>
          <w:cantSplit/>
          <w:trHeight w:val="397" w:hRule="atLeast"/>
        </w:trPr>
        <w:tc>
          <w:tcPr>
            <w:tcW w:type="dxa" w:w="33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Ducted air conditioning</w:t>
            </w:r>
          </w:p>
        </w:tc>
        <w:tc>
          <w:tcPr>
            <w:tcW w:type="dxa" w:w="182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Comfort</w:t>
            </w:r>
          </w:p>
        </w:tc>
        <w:tc>
          <w:tcPr>
            <w:tcW w:type="dxa" w:w="171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$9,800</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High</w:t>
            </w:r>
          </w:p>
        </w:tc>
      </w:tr>
      <w:tr>
        <w:trPr>
          <w:cantSplit/>
          <w:trHeight w:val="397" w:hRule="atLeast"/>
        </w:trPr>
        <w:tc>
          <w:tcPr>
            <w:tcW w:type="dxa" w:w="33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Stone benchtops throughout</w:t>
            </w:r>
          </w:p>
        </w:tc>
        <w:tc>
          <w:tcPr>
            <w:tcW w:type="dxa" w:w="182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Kitchen</w:t>
            </w:r>
          </w:p>
        </w:tc>
        <w:tc>
          <w:tcPr>
            <w:tcW w:type="dxa" w:w="171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40mm base</w:t>
            </w:r>
          </w:p>
        </w:tc>
        <w:tc>
          <w:tcPr>
            <w:tcW w:type="dxa" w:w="16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$6,200</w:t>
            </w:r>
          </w:p>
        </w:tc>
        <w:tc>
          <w:tcPr>
            <w:tcW w:type="dxa" w:w="16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High</w:t>
            </w:r>
          </w:p>
        </w:tc>
      </w:tr>
      <w:tr>
        <w:trPr>
          <w:cantSplit/>
          <w:trHeight w:val="397" w:hRule="atLeast"/>
        </w:trPr>
        <w:tc>
          <w:tcPr>
            <w:tcW w:type="dxa" w:w="33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Upgraded appliance package</w:t>
            </w:r>
          </w:p>
        </w:tc>
        <w:tc>
          <w:tcPr>
            <w:tcW w:type="dxa" w:w="182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Kitchen</w:t>
            </w:r>
          </w:p>
        </w:tc>
        <w:tc>
          <w:tcPr>
            <w:tcW w:type="dxa" w:w="171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Base package</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$4,400</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Medium</w:t>
            </w:r>
          </w:p>
        </w:tc>
      </w:tr>
      <w:tr>
        <w:trPr>
          <w:cantSplit/>
          <w:trHeight w:val="397" w:hRule="atLeast"/>
        </w:trPr>
        <w:tc>
          <w:tcPr>
            <w:tcW w:type="dxa" w:w="33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Floor tiles to living areas</w:t>
            </w:r>
          </w:p>
        </w:tc>
        <w:tc>
          <w:tcPr>
            <w:tcW w:type="dxa" w:w="182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Flooring</w:t>
            </w:r>
          </w:p>
        </w:tc>
        <w:tc>
          <w:tcPr>
            <w:tcW w:type="dxa" w:w="171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Carpet base</w:t>
            </w:r>
          </w:p>
        </w:tc>
        <w:tc>
          <w:tcPr>
            <w:tcW w:type="dxa" w:w="16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$5,600</w:t>
            </w:r>
          </w:p>
        </w:tc>
        <w:tc>
          <w:tcPr>
            <w:tcW w:type="dxa" w:w="16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Medium</w:t>
            </w:r>
          </w:p>
        </w:tc>
      </w:tr>
      <w:tr>
        <w:trPr>
          <w:cantSplit/>
          <w:trHeight w:val="397" w:hRule="atLeast"/>
        </w:trPr>
        <w:tc>
          <w:tcPr>
            <w:tcW w:type="dxa" w:w="33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Landscaping and driveway</w:t>
            </w:r>
          </w:p>
        </w:tc>
        <w:tc>
          <w:tcPr>
            <w:tcW w:type="dxa" w:w="182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External</w:t>
            </w:r>
          </w:p>
        </w:tc>
        <w:tc>
          <w:tcPr>
            <w:tcW w:type="dxa" w:w="171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$7,200</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High</w:t>
            </w:r>
          </w:p>
        </w:tc>
      </w:tr>
      <w:tr>
        <w:trPr>
          <w:cantSplit/>
          <w:trHeight w:val="397" w:hRule="atLeast"/>
        </w:trPr>
        <w:tc>
          <w:tcPr>
            <w:tcW w:type="dxa" w:w="33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Fencing</w:t>
            </w:r>
          </w:p>
        </w:tc>
        <w:tc>
          <w:tcPr>
            <w:tcW w:type="dxa" w:w="182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External</w:t>
            </w:r>
          </w:p>
        </w:tc>
        <w:tc>
          <w:tcPr>
            <w:tcW w:type="dxa" w:w="171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6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$3,400</w:t>
            </w:r>
          </w:p>
        </w:tc>
        <w:tc>
          <w:tcPr>
            <w:tcW w:type="dxa" w:w="16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High</w:t>
            </w:r>
          </w:p>
        </w:tc>
      </w:tr>
      <w:tr>
        <w:trPr>
          <w:cantSplit/>
          <w:trHeight w:val="397" w:hRule="atLeast"/>
        </w:trPr>
        <w:tc>
          <w:tcPr>
            <w:tcW w:type="dxa" w:w="33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Facade upgrade — Facade B</w:t>
            </w:r>
          </w:p>
        </w:tc>
        <w:tc>
          <w:tcPr>
            <w:tcW w:type="dxa" w:w="182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External</w:t>
            </w:r>
          </w:p>
        </w:tc>
        <w:tc>
          <w:tcPr>
            <w:tcW w:type="dxa" w:w="171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Facade A</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$1,800</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Low</w:t>
            </w:r>
          </w:p>
        </w:tc>
      </w:tr>
      <w:tr>
        <w:trPr>
          <w:cantSplit/>
          <w:trHeight w:val="397" w:hRule="atLeast"/>
        </w:trPr>
        <w:tc>
          <w:tcPr>
            <w:tcW w:type="dxa" w:w="332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Total upgrades</w:t>
            </w:r>
          </w:p>
        </w:tc>
        <w:tc>
          <w:tcPr>
            <w:tcW w:type="dxa" w:w="1825"/>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keepLines/>
              <w:pageBreakBefore w:val="0"/>
              <w:widowControl w:val="1"/>
              <w:spacing w:before="0" w:after="0" w:line="293" w:lineRule="auto"/>
            </w:pPr>
          </w:p>
        </w:tc>
        <w:tc>
          <w:tcPr>
            <w:tcW w:type="dxa" w:w="171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keepLines/>
              <w:pageBreakBefore w:val="0"/>
              <w:widowControl w:val="1"/>
              <w:spacing w:before="0" w:after="0" w:line="293" w:lineRule="auto"/>
            </w:pPr>
          </w:p>
        </w:tc>
        <w:tc>
          <w:tcPr>
            <w:tcW w:type="dxa" w:w="1610"/>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$38,400</w:t>
            </w:r>
          </w:p>
        </w:tc>
        <w:tc>
          <w:tcPr>
            <w:tcW w:type="dxa" w:w="1610"/>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'Recoverable' is our assessment of how much of each upgrade a valuer would reflect in the completed value. Landscaping, fencing and air conditioning recover well; facade and appliance upgrades generally do not.</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06</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Payment schedule</w:t>
            </w:r>
          </w:p>
          <w:p>
            <w:pPr>
              <w:keepNext/>
              <w:keepLines/>
              <w:pageBreakBefore w:val="0"/>
              <w:widowControl w:val="1"/>
              <w:spacing w:before="0" w:after="0"/>
            </w:pPr>
            <w:r>
              <w:rPr>
                <w:rFonts w:ascii="Calibri" w:hAnsi="Calibri" w:cs="Calibri" w:eastAsia="Calibri"/>
                <w:b w:val="0"/>
                <w:i w:val="0"/>
                <w:caps w:val="1"/>
                <w:color w:val="12B0CE"/>
                <w:spacing w:val="22"/>
                <w:sz w:val="14"/>
                <w:u w:val="none"/>
              </w:rPr>
              <w:t>Staged against build progress</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Progress payment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On signing</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Deposit — 5%</w:t>
            </w:r>
          </w:p>
          <w:p>
            <w:pPr>
              <w:keepNext w:val="0"/>
              <w:keepLines/>
              <w:pageBreakBefore w:val="0"/>
              <w:widowControl w:val="1"/>
              <w:spacing w:before="0" w:after="0" w:line="293" w:lineRule="auto"/>
            </w:pPr>
            <w:r>
              <w:rPr>
                <w:rFonts w:ascii="Calibri" w:hAnsi="Calibri" w:cs="Calibri" w:eastAsia="Calibri"/>
                <w:b w:val="0"/>
                <w:i w:val="0"/>
                <w:color w:val="4C5B73"/>
                <w:sz w:val="17"/>
                <w:u w:val="none"/>
              </w:rPr>
              <w:t>$22,520 · cumulative $22,520</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Slab</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Base stage — 15%</w:t>
            </w:r>
          </w:p>
          <w:p>
            <w:pPr>
              <w:keepNext w:val="0"/>
              <w:keepLines/>
              <w:pageBreakBefore w:val="0"/>
              <w:widowControl w:val="1"/>
              <w:spacing w:before="0" w:after="0" w:line="293" w:lineRule="auto"/>
            </w:pPr>
            <w:r>
              <w:rPr>
                <w:rFonts w:ascii="Calibri" w:hAnsi="Calibri" w:cs="Calibri" w:eastAsia="Calibri"/>
                <w:b w:val="0"/>
                <w:i w:val="0"/>
                <w:color w:val="4C5B73"/>
                <w:sz w:val="17"/>
                <w:u w:val="none"/>
              </w:rPr>
              <w:t>$67,560 · cumulative $90,080</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Frame</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Frame stage — 20%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$90,080 · cumulative $180,160</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Lock-up</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Lock-up stage — 25%</w:t>
            </w:r>
          </w:p>
          <w:p>
            <w:pPr>
              <w:keepNext w:val="0"/>
              <w:keepLines/>
              <w:pageBreakBefore w:val="0"/>
              <w:widowControl w:val="1"/>
              <w:spacing w:before="0" w:after="0" w:line="293" w:lineRule="auto"/>
            </w:pPr>
            <w:r>
              <w:rPr>
                <w:rFonts w:ascii="Calibri" w:hAnsi="Calibri" w:cs="Calibri" w:eastAsia="Calibri"/>
                <w:b w:val="0"/>
                <w:i w:val="0"/>
                <w:color w:val="4C5B73"/>
                <w:sz w:val="17"/>
                <w:u w:val="none"/>
              </w:rPr>
              <w:t>$112,600 · cumulative $292,760</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Fixing</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Fixing stage — 20%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$90,080 · cumulative $382,840</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Completion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Final — 15%</w:t>
            </w:r>
          </w:p>
          <w:p>
            <w:pPr>
              <w:keepNext w:val="0"/>
              <w:keepLines/>
              <w:pageBreakBefore w:val="0"/>
              <w:widowControl w:val="1"/>
              <w:spacing w:before="0" w:after="0" w:line="293" w:lineRule="auto"/>
            </w:pPr>
            <w:r>
              <w:rPr>
                <w:rFonts w:ascii="Calibri" w:hAnsi="Calibri" w:cs="Calibri" w:eastAsia="Calibri"/>
                <w:b w:val="0"/>
                <w:i w:val="0"/>
                <w:color w:val="4C5B73"/>
                <w:sz w:val="17"/>
                <w:u w:val="none"/>
              </w:rPr>
              <w:t>$67,560 · cumulative $450,400</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07</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Completed value</w:t>
            </w:r>
          </w:p>
          <w:p>
            <w:pPr>
              <w:keepNext/>
              <w:keepLines/>
              <w:pageBreakBefore w:val="0"/>
              <w:widowControl w:val="1"/>
              <w:spacing w:before="0" w:after="0"/>
            </w:pPr>
            <w:r>
              <w:rPr>
                <w:rFonts w:ascii="Calibri" w:hAnsi="Calibri" w:cs="Calibri" w:eastAsia="Calibri"/>
                <w:b w:val="0"/>
                <w:i w:val="0"/>
                <w:caps w:val="1"/>
                <w:color w:val="12B0CE"/>
                <w:spacing w:val="22"/>
                <w:sz w:val="14"/>
                <w:u w:val="none"/>
              </w:rPr>
              <w:t>Against comparable stock</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Package against comparable completed stock</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ackage against comparable completed stock"/>
        <w:tblDescription w:val="Compares: This package, 14 Riverbend Dr, 27 Willow Way, 8 Elm Court"/>
      </w:tblPr>
      <w:tblGrid>
        <w:gridCol w:w="2624"/>
        <w:gridCol w:w="1867"/>
        <w:gridCol w:w="1867"/>
        <w:gridCol w:w="1867"/>
        <w:gridCol w:w="1867"/>
      </w:tblGrid>
      <w:tr>
        <w:trPr>
          <w:cantSplit/>
          <w:trHeight w:val="510" w:hRule="atLeast"/>
          <w:tblHeader/>
        </w:trPr>
        <w:tc>
          <w:tcPr>
            <w:tcW w:type="dxa" w:w="2624"/>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pPr>
          </w:p>
        </w:tc>
        <w:tc>
          <w:tcPr>
            <w:tcW w:type="dxa" w:w="1867"/>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This package</w:t>
            </w:r>
          </w:p>
        </w:tc>
        <w:tc>
          <w:tcPr>
            <w:tcW w:type="dxa" w:w="1867"/>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14 Riverbend Dr</w:t>
            </w:r>
          </w:p>
        </w:tc>
        <w:tc>
          <w:tcPr>
            <w:tcW w:type="dxa" w:w="1867"/>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27 Willow Way</w:t>
            </w:r>
          </w:p>
        </w:tc>
        <w:tc>
          <w:tcPr>
            <w:tcW w:type="dxa" w:w="1867"/>
            <w:tcBorders>
              <w:top w:val="nil"/>
              <w:left w:val="nil"/>
              <w:bottom w:val="single" w:sz="8" w:space="0" w:color="12B0CE"/>
              <w:right w:val="nil"/>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8 Elm Court</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Status</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To be built</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Sold Jun 2026</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Sold Apr 2026</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Sold Feb 2026</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Land</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448 m²</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462 m²</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441 m²</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455 m²</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Building</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198 m²</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204 m²</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191 m²</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202 m²</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Accommodation</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 · 2 · 2</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 · 2 · 2</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 · 2 · 2</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 · 2 · 2</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Price</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$784,500</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$752,000</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$726,000</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$741,000</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Landscaped</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Included</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Age at sale</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New</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 years</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 year</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years</w:t>
            </w:r>
          </w:p>
        </w:tc>
      </w:tr>
    </w:tbl>
    <w:p>
      <w:pPr>
        <w:keepNext w:val="0"/>
        <w:keepLines/>
        <w:pageBreakBefore w:val="0"/>
        <w:widowControl w:val="1"/>
        <w:spacing w:before="0" w:after="0" w:line="12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Completed-value assessment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mpleted-value assessment"/>
        <w:tblDescription w:val="Columns: Basis, Value, Method"/>
      </w:tblPr>
      <w:tblGrid>
        <w:gridCol w:w="3175"/>
        <w:gridCol w:w="1928"/>
        <w:gridCol w:w="4989"/>
      </w:tblGrid>
      <w:tr>
        <w:trPr>
          <w:cantSplit/>
          <w:trHeight w:val="420" w:hRule="atLeast"/>
          <w:tblHeader/>
        </w:trPr>
        <w:tc>
          <w:tcPr>
            <w:tcW w:type="dxa" w:w="317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19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Value</w:t>
            </w:r>
          </w:p>
        </w:tc>
        <w:tc>
          <w:tcPr>
            <w:tcW w:type="dxa" w:w="4989"/>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Method</w:t>
            </w:r>
          </w:p>
        </w:tc>
      </w:tr>
      <w:tr>
        <w:trPr>
          <w:cantSplit/>
          <w:trHeight w:val="397" w:hRule="atLeast"/>
        </w:trPr>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Comparable median</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$741,000</w:t>
            </w:r>
          </w:p>
        </w:tc>
        <w:tc>
          <w:tcPr>
            <w:tcW w:type="dxa" w:w="498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of three comparable sales</w:t>
            </w:r>
          </w:p>
        </w:tc>
      </w:tr>
      <w:tr>
        <w:trPr>
          <w:cantSplit/>
          <w:trHeight w:val="397" w:hRule="atLeast"/>
        </w:trPr>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Adjusted for building area</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$743,000</w:t>
            </w:r>
          </w:p>
        </w:tc>
        <w:tc>
          <w:tcPr>
            <w:tcW w:type="dxa" w:w="498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Adjusted to 198 m²</w:t>
            </w:r>
          </w:p>
        </w:tc>
      </w:tr>
      <w:tr>
        <w:trPr>
          <w:cantSplit/>
          <w:trHeight w:val="397" w:hRule="atLeast"/>
        </w:trPr>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Package price</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$784,500</w:t>
            </w:r>
          </w:p>
        </w:tc>
        <w:tc>
          <w:tcPr>
            <w:tcW w:type="dxa" w:w="498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plus build plus upgrades</w:t>
            </w:r>
          </w:p>
        </w:tc>
      </w:tr>
      <w:tr>
        <w:trPr>
          <w:cantSplit/>
          <w:trHeight w:val="397" w:hRule="atLeast"/>
        </w:trPr>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Variance</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−$41,500</w:t>
            </w:r>
          </w:p>
        </w:tc>
        <w:tc>
          <w:tcPr>
            <w:tcW w:type="dxa" w:w="498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Package above adjusted comparable value</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08</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Risks &amp; mitigations</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What could go wrong</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8"/>
          <w:sz w:val="15"/>
          <w:u w:val="none"/>
        </w:rPr>
        <w:t>Risks &amp; mitigations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mp; mitigations"/>
        <w:tblDescription w:val="Columns: Risk, Severity, Mitigation"/>
      </w:tblPr>
      <w:tblGrid>
        <w:gridCol w:w="4037"/>
        <w:gridCol w:w="1413"/>
        <w:gridCol w:w="4642"/>
      </w:tblGrid>
      <w:tr>
        <w:trPr>
          <w:cantSplit/>
          <w:tblHeader/>
        </w:trPr>
        <w:tc>
          <w:tcPr>
            <w:tcW w:type="dxa" w:w="4037"/>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Registration slips again and the fixed-price period expires</w:t>
            </w:r>
          </w:p>
        </w:tc>
        <w:tc>
          <w:tcPr>
            <w:tcW w:type="dxa" w:w="1413"/>
            <w:tcBorders>
              <w:top w:val="nil"/>
              <w:left w:val="nil"/>
              <w:bottom w:val="single" w:sz="4" w:space="0" w:color="DCE3ED"/>
              <w:right w:val="nil"/>
            </w:tcBorders>
            <w:shd w:val="clear" w:color="auto" w:fill="FBECEA"/>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Negotiate a fixed-price period tied to registration rather than to signing, or a price-rise cap of CPI.</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Valuation at completion comes in below the package price</w:t>
            </w:r>
          </w:p>
        </w:tc>
        <w:tc>
          <w:tcPr>
            <w:tcW w:type="dxa" w:w="1413"/>
            <w:tcBorders>
              <w:top w:val="nil"/>
              <w:left w:val="nil"/>
              <w:bottom w:val="single" w:sz="4" w:space="0" w:color="DCE3ED"/>
              <w:right w:val="nil"/>
            </w:tcBorders>
            <w:shd w:val="clear" w:color="auto" w:fill="FBECEA"/>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 $41,500 shortfall would require additional cash at settlement. Obtain an 'as if complete' valuation before signing.</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Provisional sums and prime cost items exceed allowances</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$23,800 of open exposure. Request a fixed site-cost quote after a full geotechnical report.</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Build overruns and liquidated damages under-compensate</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LDs are $180/week against $520/week of rent forgone. Seek an increase or budget the difference.</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09</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Recommendation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Proceed, renegotiate or decline</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171" w:type="dxa"/>
              <w:left w:w="199" w:type="dxa"/>
              <w:bottom w:w="171" w:type="dxa"/>
              <w:right w:w="199" w:type="dxa"/>
            </w:tcMar>
          </w:tcPr>
          <w:p>
            <w:pPr>
              <w:keepNext/>
              <w:keepLines/>
              <w:pageBreakBefore w:val="0"/>
              <w:widowControl w:val="1"/>
              <w:spacing w:before="0" w:after="100"/>
            </w:pPr>
            <w:r>
              <w:rPr>
                <w:rFonts w:ascii="Calibri" w:hAnsi="Calibri" w:cs="Calibri" w:eastAsia="Calibri"/>
                <w:b/>
                <w:i w:val="0"/>
                <w:caps w:val="1"/>
                <w:color w:val="12B0CE"/>
                <w:spacing w:val="28"/>
                <w:sz w:val="15"/>
                <w:u w:val="none"/>
              </w:rPr>
              <w:t>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Renegotiate before signing. Remove or reprice the low-recovery upgrades, tie the fixed-price period to registration, and obtain an 'as if complete' valuation.</w:t>
            </w:r>
          </w:p>
          <w:p>
            <w:pPr>
              <w:keepNext w:val="0"/>
              <w:keepLines/>
              <w:pageBreakBefore w:val="0"/>
              <w:widowControl w:val="1"/>
              <w:spacing w:before="0" w:after="0" w:line="317" w:lineRule="auto"/>
            </w:pPr>
            <w:r>
              <w:rPr>
                <w:rFonts w:ascii="Calibri" w:hAnsi="Calibri" w:cs="Calibri" w:eastAsia="Calibri"/>
                <w:b w:val="0"/>
                <w:i w:val="0"/>
                <w:color w:val="10192A"/>
                <w:sz w:val="17"/>
                <w:u w:val="none"/>
              </w:rPr>
              <w:t>The package is sound in structure and the builder is reputable. The problem is price, and it is concentrated in a $38,400 upgrade schedule that a valuer will only partly recognise. Removing the facade and appliance upgrades alone closes roughly $6,200 of the gap at no practical cost to the finished dwelling.</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Next steps</w:t>
            </w:r>
          </w:p>
          <w:p>
            <w:pPr>
              <w:keepNext w:val="0"/>
              <w:keepLines/>
              <w:pageBreakBefore w:val="0"/>
              <w:widowControl w:val="1"/>
              <w:tabs>
                <w:tab w:val="left" w:pos="320"/>
              </w:tabs>
              <w:spacing w:before="0" w:after="0" w:line="317" w:lineRule="auto"/>
              <w:ind w:left="320" w:hanging="320"/>
            </w:pPr>
            <w:r>
              <w:rPr>
                <w:rFonts w:ascii="Calibri" w:hAnsi="Calibri" w:cs="Calibri" w:eastAsia="Calibri"/>
                <w:b/>
                <w:i w:val="0"/>
                <w:color w:val="12B0CE"/>
                <w:sz w:val="19"/>
                <w:u w:val="none"/>
              </w:rPr>
              <w:t>1.</w:t>
            </w:r>
            <w:r>
              <w:rPr>
                <w:rFonts w:ascii="Calibri" w:hAnsi="Calibri" w:cs="Calibri" w:eastAsia="Calibri"/>
                <w:b w:val="0"/>
                <w:i w:val="0"/>
                <w:color w:val="10192A"/>
                <w:sz w:val="19"/>
                <w:u w:val="none"/>
              </w:rPr>
              <w:tab/>
              <w:t>Remove the facade upgrade and revert the appliance package to base.</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2.</w:t>
            </w:r>
            <w:r>
              <w:rPr>
                <w:rFonts w:ascii="Calibri" w:hAnsi="Calibri" w:cs="Calibri" w:eastAsia="Calibri"/>
                <w:b w:val="0"/>
                <w:i w:val="0"/>
                <w:color w:val="10192A"/>
                <w:sz w:val="19"/>
                <w:u w:val="none"/>
              </w:rPr>
              <w:tab/>
              <w:t>Request a fixed-price period tied to registration, not to signing.</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3.</w:t>
            </w:r>
            <w:r>
              <w:rPr>
                <w:rFonts w:ascii="Calibri" w:hAnsi="Calibri" w:cs="Calibri" w:eastAsia="Calibri"/>
                <w:b w:val="0"/>
                <w:i w:val="0"/>
                <w:color w:val="10192A"/>
                <w:sz w:val="19"/>
                <w:u w:val="none"/>
              </w:rPr>
              <w:tab/>
              <w:t>Obtain an 'as if complete' valuation before the cooling-off period expires.</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4.</w:t>
            </w:r>
            <w:r>
              <w:rPr>
                <w:rFonts w:ascii="Calibri" w:hAnsi="Calibri" w:cs="Calibri" w:eastAsia="Calibri"/>
                <w:b w:val="0"/>
                <w:i w:val="0"/>
                <w:color w:val="10192A"/>
                <w:sz w:val="19"/>
                <w:u w:val="none"/>
              </w:rPr>
              <w:tab/>
              <w:t>Request a fixed site-cost quote following a geotechnical report.</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Important information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Disclaimer, privacy and terms</w:t>
            </w:r>
          </w:p>
        </w:tc>
      </w:tr>
    </w:tbl>
    <w:p>
      <w:pPr>
        <w:keepNext w:val="1"/>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8"/>
              <w:sz w:val="14"/>
              <w:u w:val="none"/>
            </w:rPr>
            <w:t>Aurixa Systems</w:t>
          </w:r>
        </w:p>
      </w:tc>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8"/>
              <w:sz w:val="14"/>
              <w:u w:val="none"/>
            </w:rPr>
            <w:t>House &amp; Land Package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&amp; Land Package Assessment</dc:title>
  <dc:subject>Assessment of a house-and-land or turnkey package: the land, the build contract, inclusions, staged payments and the completed-value position.</dc:subject>
  <dc:creator>Aurixa Systems</dc:creator>
  <cp:keywords>House and land, Turnkey package, New build assessment,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