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4037"/>
        <w:gridCol w:w="6055"/>
      </w:tblGrid>
      <w:tr>
        <w:trPr>
          <w:cantSplit/>
          <w:trHeight w:val="8504" w:hRule="atLeast"/>
        </w:trPr>
        <w:tc>
          <w:tcPr>
            <w:tcW w:type="dxa" w:w="4037"/>
            <w:shd w:val="clear" w:color="auto" w:fill="0C2340"/>
            <w:tcMar>
              <w:top w:w="340" w:type="dxa"/>
              <w:left w:w="240" w:type="dxa"/>
              <w:bottom w:w="340" w:type="dxa"/>
              <w:right w:w="240" w:type="dxa"/>
            </w:tcMar>
            <w:vAlign w:val="top"/>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676"/>
            </w:tblGrid>
            <w:tr>
              <w:trPr>
                <w:cantSplit/>
              </w:trPr>
              <w:tc>
                <w:tcPr>
                  <w:tcW w:type="dxa" w:w="2676"/>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44"/>
                      <w:sz w:val="14"/>
                      <w:u w:val="none"/>
                    </w:rPr>
                    <w:t>[  AURIXA SYSTEMS  ]</w:t>
                  </w:r>
                </w:p>
              </w:tc>
            </w:tr>
          </w:tbl>
          <w:p/>
          <w:p>
            <w:pPr>
              <w:keepNext w:val="0"/>
              <w:keepLines/>
              <w:pageBreakBefore w:val="0"/>
              <w:widowControl w:val="1"/>
              <w:spacing w:before="0" w:after="0" w:line="280" w:lineRule="exact"/>
            </w:pPr>
            <w:r>
              <w:rPr>
                <w:sz w:val="2"/>
              </w:rPr>
            </w:r>
          </w:p>
          <w:p>
            <w:pPr>
              <w:keepNext w:val="0"/>
              <w:keepLines/>
              <w:pageBreakBefore w:val="0"/>
              <w:widowControl w:val="1"/>
              <w:spacing w:before="0" w:after="100"/>
            </w:pPr>
            <w:r>
              <w:rPr>
                <w:rFonts w:ascii="Calibri" w:hAnsi="Calibri" w:cs="Calibri" w:eastAsia="Calibri"/>
                <w:b/>
                <w:i w:val="0"/>
                <w:caps w:val="1"/>
                <w:color w:val="1D6FE0"/>
                <w:spacing w:val="40"/>
                <w:sz w:val="15"/>
                <w:u w:val="none"/>
              </w:rPr>
              <w:t>Aurixa Systems</w:t>
            </w:r>
          </w:p>
          <w:p>
            <w:pPr>
              <w:keepNext w:val="0"/>
              <w:keepLines/>
              <w:pageBreakBefore w:val="0"/>
              <w:widowControl w:val="1"/>
              <w:spacing w:before="0" w:after="0" w:line="336" w:lineRule="auto"/>
            </w:pPr>
            <w:r>
              <w:rPr>
                <w:rFonts w:ascii="Calibri" w:hAnsi="Calibri" w:cs="Calibri" w:eastAsia="Calibri"/>
                <w:b w:val="0"/>
                <w:i w:val="0"/>
                <w:color w:val="AFC0D6"/>
                <w:sz w:val="14"/>
                <w:u w:val="none"/>
              </w:rPr>
              <w:t>INTELLIGENT PROPERTY &amp; FINANCE INFRASTRUCTURE</w:t>
            </w:r>
          </w:p>
          <w:p>
            <w:pPr>
              <w:keepNext w:val="0"/>
              <w:keepLines/>
              <w:pageBreakBefore w:val="0"/>
              <w:widowControl w:val="1"/>
              <w:spacing w:before="0" w:after="0" w:line="240" w:lineRule="exact"/>
            </w:pPr>
            <w:r>
              <w:rPr>
                <w:sz w:val="2"/>
              </w:rPr>
            </w:r>
          </w:p>
          <w:p>
            <w:pPr>
              <w:keepNext w:val="0"/>
              <w:keepLines/>
              <w:pageBreakBefore w:val="0"/>
              <w:widowControl w:val="1"/>
              <w:spacing w:before="120" w:after="20"/>
            </w:pPr>
            <w:r>
              <w:rPr>
                <w:rFonts w:ascii="Calibri" w:hAnsi="Calibri" w:cs="Calibri" w:eastAsia="Calibri"/>
                <w:b/>
                <w:i w:val="0"/>
                <w:caps w:val="1"/>
                <w:color w:val="1D6FE0"/>
                <w:spacing w:val="28"/>
                <w:sz w:val="14"/>
                <w:u w:val="none"/>
              </w:rPr>
              <w:t>PREPARED FOR</w:t>
            </w:r>
          </w:p>
          <w:p>
            <w:pPr>
              <w:keepNext w:val="0"/>
              <w:keepLines/>
              <w:pageBreakBefore w:val="0"/>
              <w:widowControl w:val="1"/>
              <w:spacing w:before="0" w:after="0"/>
            </w:pPr>
            <w:r>
              <w:rPr>
                <w:rFonts w:ascii="Calibri" w:hAnsi="Calibri" w:cs="Calibri" w:eastAsia="Calibri"/>
                <w:b w:val="0"/>
                <w:i w:val="0"/>
                <w:color w:val="FFFFFF"/>
                <w:sz w:val="17"/>
                <w:u w:val="none"/>
              </w:rPr>
              <w:t>J. &amp; S. Nguyen</w:t>
            </w:r>
          </w:p>
          <w:p>
            <w:pPr>
              <w:keepNext w:val="0"/>
              <w:keepLines/>
              <w:pageBreakBefore w:val="0"/>
              <w:widowControl w:val="1"/>
              <w:spacing w:before="120" w:after="20"/>
            </w:pPr>
            <w:r>
              <w:rPr>
                <w:rFonts w:ascii="Calibri" w:hAnsi="Calibri" w:cs="Calibri" w:eastAsia="Calibri"/>
                <w:b/>
                <w:i w:val="0"/>
                <w:caps w:val="1"/>
                <w:color w:val="1D6FE0"/>
                <w:spacing w:val="28"/>
                <w:sz w:val="14"/>
                <w:u w:val="none"/>
              </w:rPr>
              <w:t>PREPARED BY</w:t>
            </w:r>
          </w:p>
          <w:p>
            <w:pPr>
              <w:keepNext w:val="0"/>
              <w:keepLines/>
              <w:pageBreakBefore w:val="0"/>
              <w:widowControl w:val="1"/>
              <w:spacing w:before="0" w:after="0"/>
            </w:pPr>
            <w:r>
              <w:rPr>
                <w:rFonts w:ascii="Calibri" w:hAnsi="Calibri" w:cs="Calibri" w:eastAsia="Calibri"/>
                <w:b w:val="0"/>
                <w:i w:val="0"/>
                <w:color w:val="FFFFFF"/>
                <w:sz w:val="17"/>
                <w:u w:val="none"/>
              </w:rPr>
              <w:t>A. Nguyen</w:t>
            </w:r>
          </w:p>
          <w:p>
            <w:pPr>
              <w:keepNext w:val="0"/>
              <w:keepLines/>
              <w:pageBreakBefore w:val="0"/>
              <w:widowControl w:val="1"/>
              <w:spacing w:before="120" w:after="20"/>
            </w:pPr>
            <w:r>
              <w:rPr>
                <w:rFonts w:ascii="Calibri" w:hAnsi="Calibri" w:cs="Calibri" w:eastAsia="Calibri"/>
                <w:b/>
                <w:i w:val="0"/>
                <w:caps w:val="1"/>
                <w:color w:val="1D6FE0"/>
                <w:spacing w:val="28"/>
                <w:sz w:val="14"/>
                <w:u w:val="none"/>
              </w:rPr>
              <w:t>ISSUED</w:t>
            </w:r>
          </w:p>
          <w:p>
            <w:pPr>
              <w:keepNext w:val="0"/>
              <w:keepLines/>
              <w:pageBreakBefore w:val="0"/>
              <w:widowControl w:val="1"/>
              <w:spacing w:before="0" w:after="0"/>
            </w:pPr>
            <w:r>
              <w:rPr>
                <w:rFonts w:ascii="Calibri" w:hAnsi="Calibri" w:cs="Calibri" w:eastAsia="Calibri"/>
                <w:b w:val="0"/>
                <w:i w:val="0"/>
                <w:color w:val="FFFFFF"/>
                <w:sz w:val="17"/>
                <w:u w:val="none"/>
              </w:rPr>
              <w:t>31 July 2026</w:t>
            </w:r>
          </w:p>
        </w:tc>
        <w:tc>
          <w:tcPr>
            <w:tcW w:type="dxa" w:w="6055"/>
            <w:shd w:val="clear" w:color="auto" w:fill="FFFFFF"/>
            <w:tcMar>
              <w:top w:w="340" w:type="dxa"/>
              <w:left w:w="260" w:type="dxa"/>
              <w:bottom w:w="340" w:type="dxa"/>
              <w:right w:w="100" w:type="dxa"/>
            </w:tcMar>
            <w:vAlign w:val="center"/>
          </w:tcPr>
          <w:p>
            <w:pPr>
              <w:keepNext w:val="0"/>
              <w:keepLines/>
              <w:pageBreakBefore w:val="0"/>
              <w:widowControl w:val="1"/>
              <w:spacing w:before="0" w:after="120"/>
            </w:pPr>
            <w:r>
              <w:rPr>
                <w:rFonts w:ascii="Calibri" w:hAnsi="Calibri" w:cs="Calibri" w:eastAsia="Calibri"/>
                <w:b/>
                <w:i w:val="0"/>
                <w:caps w:val="1"/>
                <w:color w:val="1D6FE0"/>
                <w:spacing w:val="60"/>
                <w:sz w:val="16"/>
                <w:u w:val="none"/>
              </w:rPr>
              <w:t>Credit recommendation</w:t>
            </w:r>
          </w:p>
          <w:p>
            <w:pPr>
              <w:keepNext/>
              <w:keepLines/>
              <w:pageBreakBefore w:val="0"/>
              <w:widowControl w:val="1"/>
              <w:spacing w:before="0" w:after="160" w:line="240" w:lineRule="auto"/>
            </w:pPr>
            <w:r>
              <w:rPr>
                <w:rFonts w:ascii="Georgia" w:hAnsi="Georgia" w:cs="Georgia" w:eastAsia="Georgia"/>
                <w:b/>
                <w:i w:val="0"/>
                <w:color w:val="0C2340"/>
                <w:spacing w:val="2"/>
                <w:sz w:val="60"/>
                <w:u w:val="none"/>
              </w:rPr>
              <w:t>Lending Recommendation</w:t>
            </w:r>
          </w:p>
          <w:p>
            <w:pPr>
              <w:keepNext w:val="0"/>
              <w:keepLines/>
              <w:pageBreakBefore w:val="0"/>
              <w:widowControl w:val="1"/>
              <w:pBdr>
                <w:bottom w:val="single" w:sz="12" w:space="1" w:color="1D6FE0"/>
              </w:pBdr>
              <w:spacing w:before="0" w:after="160" w:line="20" w:lineRule="exact"/>
            </w:pPr>
            <w:r>
              <w:rPr>
                <w:sz w:val="2"/>
              </w:rPr>
            </w:r>
          </w:p>
          <w:p>
            <w:pPr>
              <w:keepNext w:val="0"/>
              <w:keepLines/>
              <w:pageBreakBefore w:val="0"/>
              <w:widowControl w:val="1"/>
              <w:spacing w:before="0" w:after="0" w:line="336" w:lineRule="auto"/>
            </w:pPr>
            <w:r>
              <w:rPr>
                <w:rFonts w:ascii="Calibri" w:hAnsi="Calibri" w:cs="Calibri" w:eastAsia="Calibri"/>
                <w:b w:val="0"/>
                <w:i w:val="0"/>
                <w:color w:val="4C5B73"/>
                <w:sz w:val="22"/>
                <w:u w:val="none"/>
              </w:rPr>
              <w:t>The lender, product and structure we recommend, why, what else we considered, and the disclosures that accompany it.</w:t>
            </w:r>
          </w:p>
          <w:p>
            <w:pPr>
              <w:keepNext w:val="0"/>
              <w:keepLines/>
              <w:pageBreakBefore w:val="0"/>
              <w:widowControl w:val="1"/>
              <w:spacing w:before="0" w:after="0" w:line="200" w:lineRule="exact"/>
            </w:pPr>
            <w:r>
              <w:rPr>
                <w:sz w:val="2"/>
              </w:rPr>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2517"/>
              <w:gridCol w:w="2517"/>
            </w:tblGrid>
            <w:tr>
              <w:trPr>
                <w:cantSplit/>
              </w:trPr>
              <w:tc>
                <w:tcPr>
                  <w:tcW w:type="dxa" w:w="2517"/>
                  <w:tcBorders>
                    <w:top w:val="single" w:sz="4" w:space="0" w:color="C2CDDC"/>
                    <w:left w:val="single" w:sz="4" w:space="0" w:color="C2CDDC"/>
                    <w:bottom w:val="single" w:sz="4" w:space="0" w:color="C2CDDC"/>
                    <w:right w:val="single" w:sz="4" w:space="0" w:color="C2CDDC"/>
                  </w:tcBorders>
                  <w:shd w:val="clear" w:color="auto" w:fill="DCE8FB"/>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0C2340"/>
                      <w:spacing w:val="28"/>
                      <w:sz w:val="14"/>
                      <w:u w:val="none"/>
                    </w:rPr>
                    <w:t>RECOMMENDATION</w:t>
                  </w:r>
                </w:p>
              </w:tc>
              <w:tc>
                <w:tcPr>
                  <w:tcW w:type="dxa" w:w="2517"/>
                  <w:tcBorders>
                    <w:top w:val="single" w:sz="4" w:space="0" w:color="C2CDDC"/>
                    <w:left w:val="single" w:sz="4" w:space="0" w:color="C2CDDC"/>
                    <w:bottom w:val="single" w:sz="4" w:space="0" w:color="C2CDDC"/>
                    <w:right w:val="single" w:sz="4" w:space="0" w:color="C2CDDC"/>
                  </w:tcBorders>
                  <w:shd w:val="clear" w:color="auto" w:fill="DCE8FB"/>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0C2340"/>
                      <w:spacing w:val="28"/>
                      <w:sz w:val="14"/>
                      <w:u w:val="none"/>
                    </w:rPr>
                    <w:t>DISCLOSED</w:t>
                  </w:r>
                </w:p>
              </w:tc>
            </w:tr>
          </w:tbl>
          <w:p/>
        </w:tc>
      </w:tr>
    </w:tbl>
    <w:p>
      <w:pPr>
        <w:keepNext w:val="0"/>
        <w:keepLines/>
        <w:pageBreakBefore w:val="0"/>
        <w:widowControl w:val="1"/>
        <w:spacing w:before="0" w:after="0" w:line="3231"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val="0"/>
        <w:keepLines/>
        <w:pageBreakBefore w:val="1"/>
        <w:widowControl w:val="1"/>
        <w:spacing w:before="0" w:after="0" w:line="20" w:lineRule="exact"/>
        <w:rPr>
          <w:sz w:val="2"/>
        </w:rPr>
      </w:pP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D6FE0"/>
              <w:left w:val="single" w:sz="26" w:space="0" w:color="1D6FE0"/>
              <w:bottom w:val="single" w:sz="6" w:space="0" w:color="1D6FE0"/>
              <w:right w:val="single" w:sz="6" w:space="0" w:color="1D6FE0"/>
            </w:tcBorders>
            <w:shd w:val="clear" w:color="auto" w:fill="F2F7FE"/>
            <w:tcMar>
              <w:top w:w="212" w:type="dxa"/>
              <w:left w:w="247" w:type="dxa"/>
              <w:bottom w:w="212" w:type="dxa"/>
              <w:right w:w="247" w:type="dxa"/>
            </w:tcMar>
          </w:tcPr>
          <w:p>
            <w:pPr>
              <w:keepNext/>
              <w:keepLines/>
              <w:pageBreakBefore w:val="0"/>
              <w:widowControl w:val="1"/>
              <w:spacing w:before="0" w:after="100"/>
            </w:pPr>
            <w:r>
              <w:rPr>
                <w:rFonts w:ascii="Calibri" w:hAnsi="Calibri" w:cs="Calibri" w:eastAsia="Calibri"/>
                <w:b/>
                <w:i w:val="0"/>
                <w:caps w:val="1"/>
                <w:color w:val="1D6FE0"/>
                <w:spacing w:val="36"/>
                <w:sz w:val="15"/>
                <w:u w:val="none"/>
              </w:rPr>
              <w:t>RECOMMENDATION</w:t>
            </w:r>
            <w:r>
              <w:rPr>
                <w:rFonts w:ascii="Calibri" w:hAnsi="Calibri" w:cs="Calibri" w:eastAsia="Calibri"/>
                <w:b/>
                <w:i w:val="0"/>
                <w:caps w:val="1"/>
                <w:color w:val="4C5B73"/>
                <w:spacing w:val="24"/>
                <w:sz w:val="14"/>
                <w:u w:val="none"/>
              </w:rPr>
              <w:t xml:space="preserve">     CONFIDENCE: HIGH</w:t>
            </w:r>
          </w:p>
          <w:p>
            <w:pPr>
              <w:keepNext w:val="0"/>
              <w:keepLines/>
              <w:pageBreakBefore w:val="0"/>
              <w:widowControl w:val="1"/>
              <w:spacing w:before="0" w:after="120" w:line="298" w:lineRule="auto"/>
            </w:pPr>
            <w:r>
              <w:rPr>
                <w:rFonts w:ascii="Georgia" w:hAnsi="Georgia" w:cs="Georgia" w:eastAsia="Georgia"/>
                <w:b/>
                <w:i w:val="0"/>
                <w:color w:val="0C2340"/>
                <w:sz w:val="22"/>
                <w:u w:val="none"/>
              </w:rPr>
              <w:t>Lender A — Investment IO Package, $648,000, interest only for five years, split 70/30 variable and fixed, with a 100% offset against the variable portion.</w:t>
            </w:r>
          </w:p>
          <w:p>
            <w:pPr>
              <w:keepNext w:val="0"/>
              <w:keepLines/>
              <w:pageBreakBefore w:val="0"/>
              <w:widowControl w:val="1"/>
              <w:spacing w:before="0" w:after="0" w:line="341" w:lineRule="auto"/>
            </w:pPr>
            <w:r>
              <w:rPr>
                <w:rFonts w:ascii="Calibri" w:hAnsi="Calibri" w:cs="Calibri" w:eastAsia="Calibri"/>
                <w:b w:val="0"/>
                <w:i w:val="0"/>
                <w:color w:val="10192A"/>
                <w:sz w:val="17"/>
                <w:u w:val="none"/>
              </w:rPr>
              <w:t>This structure meets your stated priority of minimising outgoings during the build phase while preserving the flexibility to make lump-sum reductions once the second property settles.</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6"/>
                <w:sz w:val="15"/>
                <w:u w:val="none"/>
              </w:rPr>
              <w:t>Next steps</w:t>
            </w:r>
          </w:p>
          <w:p>
            <w:pPr>
              <w:keepNext w:val="0"/>
              <w:keepLines/>
              <w:pageBreakBefore w:val="0"/>
              <w:widowControl w:val="1"/>
              <w:tabs>
                <w:tab w:val="left" w:pos="320"/>
              </w:tabs>
              <w:spacing w:before="0" w:after="0" w:line="341" w:lineRule="auto"/>
              <w:ind w:left="320" w:hanging="320"/>
            </w:pPr>
            <w:r>
              <w:rPr>
                <w:rFonts w:ascii="Calibri" w:hAnsi="Calibri" w:cs="Calibri" w:eastAsia="Calibri"/>
                <w:b/>
                <w:i w:val="0"/>
                <w:color w:val="1D6FE0"/>
                <w:sz w:val="19"/>
                <w:u w:val="none"/>
              </w:rPr>
              <w:t>1.</w:t>
            </w:r>
            <w:r>
              <w:rPr>
                <w:rFonts w:ascii="Calibri" w:hAnsi="Calibri" w:cs="Calibri" w:eastAsia="Calibri"/>
                <w:b w:val="0"/>
                <w:i w:val="0"/>
                <w:color w:val="10192A"/>
                <w:sz w:val="19"/>
                <w:u w:val="none"/>
              </w:rPr>
              <w:tab/>
              <w:t>Confirm you accept the $395 annual package fee.</w:t>
            </w:r>
          </w:p>
          <w:p>
            <w:pPr>
              <w:keepNext w:val="0"/>
              <w:keepLines/>
              <w:pageBreakBefore w:val="0"/>
              <w:widowControl w:val="1"/>
              <w:tabs>
                <w:tab w:val="left" w:pos="320"/>
              </w:tabs>
              <w:spacing w:before="80" w:after="0" w:line="341" w:lineRule="auto"/>
              <w:ind w:left="320" w:hanging="320"/>
            </w:pPr>
            <w:r>
              <w:rPr>
                <w:rFonts w:ascii="Calibri" w:hAnsi="Calibri" w:cs="Calibri" w:eastAsia="Calibri"/>
                <w:b/>
                <w:i w:val="0"/>
                <w:color w:val="1D6FE0"/>
                <w:sz w:val="19"/>
                <w:u w:val="none"/>
              </w:rPr>
              <w:t>2.</w:t>
            </w:r>
            <w:r>
              <w:rPr>
                <w:rFonts w:ascii="Calibri" w:hAnsi="Calibri" w:cs="Calibri" w:eastAsia="Calibri"/>
                <w:b w:val="0"/>
                <w:i w:val="0"/>
                <w:color w:val="10192A"/>
                <w:sz w:val="19"/>
                <w:u w:val="none"/>
              </w:rPr>
              <w:tab/>
              <w:t>Confirm the 70/30 variable/fixed split.</w:t>
            </w:r>
          </w:p>
          <w:p>
            <w:pPr>
              <w:keepNext w:val="0"/>
              <w:keepLines/>
              <w:pageBreakBefore w:val="0"/>
              <w:widowControl w:val="1"/>
              <w:tabs>
                <w:tab w:val="left" w:pos="320"/>
              </w:tabs>
              <w:spacing w:before="80" w:after="0" w:line="341" w:lineRule="auto"/>
              <w:ind w:left="320" w:hanging="320"/>
            </w:pPr>
            <w:r>
              <w:rPr>
                <w:rFonts w:ascii="Calibri" w:hAnsi="Calibri" w:cs="Calibri" w:eastAsia="Calibri"/>
                <w:b/>
                <w:i w:val="0"/>
                <w:color w:val="1D6FE0"/>
                <w:sz w:val="19"/>
                <w:u w:val="none"/>
              </w:rPr>
              <w:t>3.</w:t>
            </w:r>
            <w:r>
              <w:rPr>
                <w:rFonts w:ascii="Calibri" w:hAnsi="Calibri" w:cs="Calibri" w:eastAsia="Calibri"/>
                <w:b w:val="0"/>
                <w:i w:val="0"/>
                <w:color w:val="10192A"/>
                <w:sz w:val="19"/>
                <w:u w:val="none"/>
              </w:rPr>
              <w:tab/>
              <w:t>Provide the outstanding documents listed in section eight.</w:t>
            </w:r>
          </w:p>
        </w:tc>
      </w:tr>
    </w:tbl>
    <w:p>
      <w:pPr>
        <w:keepNext w:val="0"/>
        <w:keepLines/>
        <w:pageBreakBefore w:val="0"/>
        <w:widowControl w:val="1"/>
        <w:spacing w:before="0" w:after="0" w:line="240" w:lineRule="exact"/>
      </w:pPr>
      <w:r>
        <w:rPr>
          <w:sz w:val="2"/>
        </w:rPr>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01   </w:t>
      </w:r>
      <w:r>
        <w:rPr>
          <w:rFonts w:ascii="Georgia" w:hAnsi="Georgia" w:cs="Georgia" w:eastAsia="Georgia"/>
          <w:b w:val="0"/>
          <w:i w:val="0"/>
          <w:color w:val="0C2340"/>
          <w:spacing w:val="2"/>
          <w:sz w:val="34"/>
          <w:u w:val="none"/>
        </w:rPr>
        <w:t>Your objectives &amp; requirements</w:t>
      </w:r>
    </w:p>
    <w:p>
      <w:pPr>
        <w:keepNext/>
        <w:keepLines/>
        <w:pageBreakBefore w:val="0"/>
        <w:widowControl w:val="1"/>
        <w:spacing w:before="0" w:after="100"/>
      </w:pPr>
      <w:r>
        <w:rPr>
          <w:rFonts w:ascii="Calibri" w:hAnsi="Calibri" w:cs="Calibri" w:eastAsia="Calibri"/>
          <w:b/>
          <w:i w:val="0"/>
          <w:caps w:val="1"/>
          <w:color w:val="4C5B73"/>
          <w:spacing w:val="36"/>
          <w:sz w:val="15"/>
          <w:u w:val="none"/>
        </w:rPr>
        <w:t>As you described them to us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212" w:type="dxa"/>
              <w:left w:w="247" w:type="dxa"/>
              <w:bottom w:w="212" w:type="dxa"/>
              <w:right w:w="247" w:type="dxa"/>
            </w:tcMar>
          </w:tcPr>
          <w:p>
            <w:pPr>
              <w:keepNext/>
              <w:keepLines/>
              <w:pageBreakBefore w:val="0"/>
              <w:widowControl w:val="1"/>
              <w:spacing w:before="0" w:after="80"/>
            </w:pPr>
            <w:r>
              <w:rPr>
                <w:rFonts w:ascii="Calibri" w:hAnsi="Calibri" w:cs="Calibri" w:eastAsia="Calibri"/>
                <w:b/>
                <w:i w:val="0"/>
                <w:caps w:val="1"/>
                <w:color w:val="1D6FE0"/>
                <w:spacing w:val="36"/>
                <w:sz w:val="15"/>
                <w:u w:val="none"/>
              </w:rPr>
              <w:t>Your objectives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284"/>
              <w:gridCol w:w="7234"/>
            </w:tblGrid>
            <w:tr>
              <w:trPr>
                <w:cantSplit/>
                <w:trHeight w:val="431" w:hRule="atLeast"/>
              </w:trPr>
              <w:tc>
                <w:tcPr>
                  <w:tcW w:type="dxa" w:w="2284"/>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Primary objective</w:t>
                  </w:r>
                </w:p>
              </w:tc>
              <w:tc>
                <w:tcPr>
                  <w:tcW w:type="dxa" w:w="7234"/>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Acquire a second investment property within 12 months</w:t>
                  </w:r>
                </w:p>
              </w:tc>
            </w:tr>
            <w:tr>
              <w:trPr>
                <w:cantSplit/>
                <w:trHeight w:val="431" w:hRule="atLeast"/>
              </w:trPr>
              <w:tc>
                <w:tcPr>
                  <w:tcW w:type="dxa" w:w="2284"/>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Repayment preference</w:t>
                  </w:r>
                </w:p>
              </w:tc>
              <w:tc>
                <w:tcPr>
                  <w:tcW w:type="dxa" w:w="7234"/>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Minimise outgoings during the build phase</w:t>
                  </w:r>
                </w:p>
              </w:tc>
            </w:tr>
            <w:tr>
              <w:trPr>
                <w:cantSplit/>
                <w:trHeight w:val="431" w:hRule="atLeast"/>
              </w:trPr>
              <w:tc>
                <w:tcPr>
                  <w:tcW w:type="dxa" w:w="2284"/>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Rate preference</w:t>
                  </w:r>
                </w:p>
              </w:tc>
              <w:tc>
                <w:tcPr>
                  <w:tcW w:type="dxa" w:w="7234"/>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Some certainty; comfortable with partial variable</w:t>
                  </w:r>
                </w:p>
              </w:tc>
            </w:tr>
            <w:tr>
              <w:trPr>
                <w:cantSplit/>
                <w:trHeight w:val="431" w:hRule="atLeast"/>
              </w:trPr>
              <w:tc>
                <w:tcPr>
                  <w:tcW w:type="dxa" w:w="2284"/>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Features required</w:t>
                  </w:r>
                </w:p>
              </w:tc>
              <w:tc>
                <w:tcPr>
                  <w:tcW w:type="dxa" w:w="7234"/>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Offset account; ability to make lump-sum reductions</w:t>
                  </w:r>
                </w:p>
              </w:tc>
            </w:tr>
            <w:tr>
              <w:trPr>
                <w:cantSplit/>
                <w:trHeight w:val="431" w:hRule="atLeast"/>
              </w:trPr>
              <w:tc>
                <w:tcPr>
                  <w:tcW w:type="dxa" w:w="2284"/>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Term</w:t>
                  </w:r>
                </w:p>
              </w:tc>
              <w:tc>
                <w:tcPr>
                  <w:tcW w:type="dxa" w:w="7234"/>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30 years</w:t>
                  </w:r>
                </w:p>
              </w:tc>
            </w:tr>
            <w:tr>
              <w:trPr>
                <w:cantSplit/>
                <w:trHeight w:val="431" w:hRule="atLeast"/>
              </w:trPr>
              <w:tc>
                <w:tcPr>
                  <w:tcW w:type="dxa" w:w="2284"/>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Stated constraints</w:t>
                  </w:r>
                </w:p>
              </w:tc>
              <w:tc>
                <w:tcPr>
                  <w:tcW w:type="dxa" w:w="7234"/>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No cross-collateralisation; single lender exposure below $1.5m</w:t>
                  </w:r>
                </w:p>
              </w:tc>
            </w:tr>
          </w:tbl>
          <w:p/>
          <w:p>
            <w:pPr>
              <w:keepNext w:val="0"/>
              <w:keepLines/>
              <w:pageBreakBefore w:val="0"/>
              <w:widowControl w:val="1"/>
              <w:spacing w:before="120" w:after="0"/>
            </w:pPr>
            <w:r>
              <w:rPr>
                <w:rFonts w:ascii="Calibri" w:hAnsi="Calibri" w:cs="Calibri" w:eastAsia="Calibri"/>
                <w:b w:val="0"/>
                <w:i/>
                <w:color w:val="8493A8"/>
                <w:sz w:val="14"/>
                <w:u w:val="none"/>
              </w:rPr>
              <w:t>These are recorded as you described them. If any of them has changed, tell us before you act on this recommendation.</w:t>
            </w:r>
          </w:p>
        </w:tc>
      </w:tr>
    </w:tbl>
    <w:p>
      <w:pPr>
        <w:keepNext w:val="0"/>
        <w:keepLines/>
        <w:pageBreakBefore w:val="0"/>
        <w:widowControl w:val="1"/>
        <w:spacing w:before="0" w:after="0" w:line="240" w:lineRule="exact"/>
      </w:pPr>
      <w:r>
        <w:rPr>
          <w:sz w:val="2"/>
        </w:rPr>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02   </w:t>
      </w:r>
      <w:r>
        <w:rPr>
          <w:rFonts w:ascii="Georgia" w:hAnsi="Georgia" w:cs="Georgia" w:eastAsia="Georgia"/>
          <w:b w:val="0"/>
          <w:i w:val="0"/>
          <w:color w:val="0C2340"/>
          <w:spacing w:val="2"/>
          <w:sz w:val="34"/>
          <w:u w:val="none"/>
        </w:rPr>
        <w:t>Your financial position</w:t>
      </w:r>
    </w:p>
    <w:p>
      <w:pPr>
        <w:keepNext/>
        <w:keepLines/>
        <w:pageBreakBefore w:val="0"/>
        <w:widowControl w:val="1"/>
        <w:spacing w:before="0" w:after="100"/>
      </w:pPr>
      <w:r>
        <w:rPr>
          <w:rFonts w:ascii="Calibri" w:hAnsi="Calibri" w:cs="Calibri" w:eastAsia="Calibri"/>
          <w:b/>
          <w:i w:val="0"/>
          <w:caps w:val="1"/>
          <w:color w:val="4C5B73"/>
          <w:spacing w:val="36"/>
          <w:sz w:val="15"/>
          <w:u w:val="none"/>
        </w:rPr>
        <w:t>What we assessed</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6"/>
          <w:sz w:val="15"/>
          <w:u w:val="none"/>
        </w:rPr>
        <w:t>Financial position as assessed</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Financial position as assessed"/>
        <w:tblDescription w:val="Columns: Item, Applicant 1, Applicant 2, Combined"/>
      </w:tblPr>
      <w:tblGrid>
        <w:gridCol w:w="3855"/>
        <w:gridCol w:w="2041"/>
        <w:gridCol w:w="2041"/>
        <w:gridCol w:w="2154"/>
      </w:tblGrid>
      <w:tr>
        <w:trPr>
          <w:cantSplit/>
          <w:trHeight w:val="420" w:hRule="atLeast"/>
          <w:tblHeader/>
        </w:trPr>
        <w:tc>
          <w:tcPr>
            <w:tcW w:type="dxa" w:w="3855"/>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2041"/>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Applicant 1</w:t>
            </w:r>
          </w:p>
        </w:tc>
        <w:tc>
          <w:tcPr>
            <w:tcW w:type="dxa" w:w="2041"/>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Applicant 2</w:t>
            </w:r>
          </w:p>
        </w:tc>
        <w:tc>
          <w:tcPr>
            <w:tcW w:type="dxa" w:w="2154"/>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Combined</w:t>
            </w:r>
          </w:p>
        </w:tc>
      </w:tr>
      <w:tr>
        <w:trPr>
          <w:cantSplit/>
          <w:trHeight w:val="397" w:hRule="atLeast"/>
        </w:trPr>
        <w:tc>
          <w:tcPr>
            <w:tcW w:type="dxa" w:w="3855"/>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Gross income</w:t>
            </w:r>
          </w:p>
        </w:tc>
        <w:tc>
          <w:tcPr>
            <w:tcW w:type="dxa" w:w="204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$160,000</w:t>
            </w:r>
          </w:p>
        </w:tc>
        <w:tc>
          <w:tcPr>
            <w:tcW w:type="dxa" w:w="204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$98,000</w:t>
            </w:r>
          </w:p>
        </w:tc>
        <w:tc>
          <w:tcPr>
            <w:tcW w:type="dxa" w:w="215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$258,000</w:t>
            </w:r>
          </w:p>
        </w:tc>
      </w:tr>
      <w:tr>
        <w:trPr>
          <w:cantSplit/>
          <w:trHeight w:val="397" w:hRule="atLeast"/>
        </w:trPr>
        <w:tc>
          <w:tcPr>
            <w:tcW w:type="dxa" w:w="3855"/>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Assessed income after shading</w:t>
            </w:r>
          </w:p>
        </w:tc>
        <w:tc>
          <w:tcPr>
            <w:tcW w:type="dxa" w:w="204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$156,400</w:t>
            </w:r>
          </w:p>
        </w:tc>
        <w:tc>
          <w:tcPr>
            <w:tcW w:type="dxa" w:w="204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$98,000</w:t>
            </w:r>
          </w:p>
        </w:tc>
        <w:tc>
          <w:tcPr>
            <w:tcW w:type="dxa" w:w="215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$254,400</w:t>
            </w:r>
          </w:p>
        </w:tc>
      </w:tr>
      <w:tr>
        <w:trPr>
          <w:cantSplit/>
          <w:trHeight w:val="397" w:hRule="atLeast"/>
        </w:trPr>
        <w:tc>
          <w:tcPr>
            <w:tcW w:type="dxa" w:w="3855"/>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Existing commitments</w:t>
            </w:r>
          </w:p>
        </w:tc>
        <w:tc>
          <w:tcPr>
            <w:tcW w:type="dxa" w:w="204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w:t>
            </w:r>
          </w:p>
        </w:tc>
        <w:tc>
          <w:tcPr>
            <w:tcW w:type="dxa" w:w="204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w:t>
            </w:r>
          </w:p>
        </w:tc>
        <w:tc>
          <w:tcPr>
            <w:tcW w:type="dxa" w:w="215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$7,779/mo</w:t>
            </w:r>
          </w:p>
        </w:tc>
      </w:tr>
      <w:tr>
        <w:trPr>
          <w:cantSplit/>
          <w:trHeight w:val="397" w:hRule="atLeast"/>
        </w:trPr>
        <w:tc>
          <w:tcPr>
            <w:tcW w:type="dxa" w:w="3855"/>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Declared living expenses</w:t>
            </w:r>
          </w:p>
        </w:tc>
        <w:tc>
          <w:tcPr>
            <w:tcW w:type="dxa" w:w="204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w:t>
            </w:r>
          </w:p>
        </w:tc>
        <w:tc>
          <w:tcPr>
            <w:tcW w:type="dxa" w:w="204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w:t>
            </w:r>
          </w:p>
        </w:tc>
        <w:tc>
          <w:tcPr>
            <w:tcW w:type="dxa" w:w="215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$5,840/mo</w:t>
            </w:r>
          </w:p>
        </w:tc>
      </w:tr>
      <w:tr>
        <w:trPr>
          <w:cantSplit/>
          <w:trHeight w:val="397" w:hRule="atLeast"/>
        </w:trPr>
        <w:tc>
          <w:tcPr>
            <w:tcW w:type="dxa" w:w="3855"/>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Applied living expenses (HEM)</w:t>
            </w:r>
          </w:p>
        </w:tc>
        <w:tc>
          <w:tcPr>
            <w:tcW w:type="dxa" w:w="204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w:t>
            </w:r>
          </w:p>
        </w:tc>
        <w:tc>
          <w:tcPr>
            <w:tcW w:type="dxa" w:w="204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w:t>
            </w:r>
          </w:p>
        </w:tc>
        <w:tc>
          <w:tcPr>
            <w:tcW w:type="dxa" w:w="215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$6,120/mo</w:t>
            </w:r>
          </w:p>
        </w:tc>
      </w:tr>
      <w:tr>
        <w:trPr>
          <w:cantSplit/>
          <w:trHeight w:val="397" w:hRule="atLeast"/>
        </w:trPr>
        <w:tc>
          <w:tcPr>
            <w:tcW w:type="dxa" w:w="3855"/>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Assets</w:t>
            </w:r>
          </w:p>
        </w:tc>
        <w:tc>
          <w:tcPr>
            <w:tcW w:type="dxa" w:w="204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w:t>
            </w:r>
          </w:p>
        </w:tc>
        <w:tc>
          <w:tcPr>
            <w:tcW w:type="dxa" w:w="204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w:t>
            </w:r>
          </w:p>
        </w:tc>
        <w:tc>
          <w:tcPr>
            <w:tcW w:type="dxa" w:w="215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$1,842,000</w:t>
            </w:r>
          </w:p>
        </w:tc>
      </w:tr>
      <w:tr>
        <w:trPr>
          <w:cantSplit/>
          <w:trHeight w:val="397" w:hRule="atLeast"/>
        </w:trPr>
        <w:tc>
          <w:tcPr>
            <w:tcW w:type="dxa" w:w="3855"/>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Liabilities</w:t>
            </w:r>
          </w:p>
        </w:tc>
        <w:tc>
          <w:tcPr>
            <w:tcW w:type="dxa" w:w="204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w:t>
            </w:r>
          </w:p>
        </w:tc>
        <w:tc>
          <w:tcPr>
            <w:tcW w:type="dxa" w:w="204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w:t>
            </w:r>
          </w:p>
        </w:tc>
        <w:tc>
          <w:tcPr>
            <w:tcW w:type="dxa" w:w="215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$853,400</w:t>
            </w:r>
          </w:p>
        </w:tc>
      </w:tr>
      <w:tr>
        <w:trPr>
          <w:cantSplit/>
          <w:trHeight w:val="397" w:hRule="atLeast"/>
        </w:trPr>
        <w:tc>
          <w:tcPr>
            <w:tcW w:type="dxa" w:w="3855"/>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Net position</w:t>
            </w:r>
          </w:p>
        </w:tc>
        <w:tc>
          <w:tcPr>
            <w:tcW w:type="dxa" w:w="204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w:t>
            </w:r>
          </w:p>
        </w:tc>
        <w:tc>
          <w:tcPr>
            <w:tcW w:type="dxa" w:w="204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w:t>
            </w:r>
          </w:p>
        </w:tc>
        <w:tc>
          <w:tcPr>
            <w:tcW w:type="dxa" w:w="215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$988,600</w:t>
            </w:r>
          </w:p>
        </w:tc>
      </w:tr>
    </w:tbl>
    <w:p>
      <w:pPr>
        <w:keepNext/>
        <w:keepLines/>
        <w:pageBreakBefore w:val="0"/>
        <w:widowControl w:val="1"/>
        <w:spacing w:before="0" w:after="60"/>
      </w:pPr>
      <w:r>
        <w:rPr>
          <w:rFonts w:ascii="Georgia" w:hAnsi="Georgia" w:cs="Georgia" w:eastAsia="Georgia"/>
          <w:b w:val="0"/>
          <w:i w:val="0"/>
          <w:color w:val="1D6FE0"/>
          <w:spacing w:val="2"/>
          <w:sz w:val="34"/>
          <w:u w:val="none"/>
        </w:rPr>
        <w:t xml:space="preserve">03   </w:t>
      </w:r>
      <w:r>
        <w:rPr>
          <w:rFonts w:ascii="Georgia" w:hAnsi="Georgia" w:cs="Georgia" w:eastAsia="Georgia"/>
          <w:b w:val="0"/>
          <w:i w:val="0"/>
          <w:color w:val="0C2340"/>
          <w:spacing w:val="2"/>
          <w:sz w:val="34"/>
          <w:u w:val="none"/>
        </w:rPr>
        <w:t>Why this recommendation</w:t>
      </w:r>
    </w:p>
    <w:p>
      <w:pPr>
        <w:keepNext/>
        <w:keepLines/>
        <w:pageBreakBefore w:val="0"/>
        <w:widowControl w:val="1"/>
        <w:spacing w:before="0" w:after="100"/>
      </w:pPr>
      <w:r>
        <w:rPr>
          <w:rFonts w:ascii="Calibri" w:hAnsi="Calibri" w:cs="Calibri" w:eastAsia="Calibri"/>
          <w:b/>
          <w:i w:val="0"/>
          <w:caps w:val="1"/>
          <w:color w:val="4C5B73"/>
          <w:spacing w:val="36"/>
          <w:sz w:val="15"/>
          <w:u w:val="none"/>
        </w:rPr>
        <w:t>Against your objectives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212" w:type="dxa"/>
              <w:left w:w="247" w:type="dxa"/>
              <w:bottom w:w="212" w:type="dxa"/>
              <w:right w:w="247" w:type="dxa"/>
            </w:tcMar>
          </w:tcPr>
          <w:p>
            <w:pPr>
              <w:keepNext/>
              <w:keepLines/>
              <w:pageBreakBefore w:val="0"/>
              <w:widowControl w:val="1"/>
              <w:spacing w:before="0" w:after="80"/>
            </w:pPr>
            <w:r>
              <w:rPr>
                <w:rFonts w:ascii="Calibri" w:hAnsi="Calibri" w:cs="Calibri" w:eastAsia="Calibri"/>
                <w:b/>
                <w:i w:val="0"/>
                <w:caps w:val="1"/>
                <w:color w:val="1D6FE0"/>
                <w:spacing w:val="36"/>
                <w:sz w:val="15"/>
                <w:u w:val="none"/>
              </w:rPr>
              <w:t>Reasoning</w:t>
            </w:r>
          </w:p>
          <w:p>
            <w:pPr>
              <w:keepNext/>
              <w:keepLines/>
              <w:pageBreakBefore w:val="0"/>
              <w:widowControl w:val="1"/>
              <w:spacing w:before="0" w:after="120" w:line="293" w:lineRule="auto"/>
            </w:pPr>
            <w:r>
              <w:rPr>
                <w:rFonts w:ascii="Georgia" w:hAnsi="Georgia" w:cs="Georgia" w:eastAsia="Georgia"/>
                <w:b/>
                <w:i w:val="0"/>
                <w:color w:val="0C2340"/>
                <w:sz w:val="23"/>
                <w:u w:val="none"/>
              </w:rPr>
              <w:t>Lender A is the only option on the panel that meets all five of your stated requirements without compromise.</w:t>
            </w:r>
          </w:p>
          <w:p>
            <w:pPr>
              <w:keepNext w:val="0"/>
              <w:keepLines/>
              <w:pageBreakBefore w:val="0"/>
              <w:widowControl w:val="1"/>
              <w:spacing w:before="0" w:after="0" w:line="341" w:lineRule="auto"/>
            </w:pPr>
            <w:r>
              <w:rPr>
                <w:rFonts w:ascii="Calibri" w:hAnsi="Calibri" w:cs="Calibri" w:eastAsia="Calibri"/>
                <w:b w:val="0"/>
                <w:i w:val="0"/>
                <w:color w:val="10192A"/>
                <w:sz w:val="19"/>
                <w:u w:val="none"/>
              </w:rPr>
              <w:t>You asked for minimised outgoings during the build phase. Interest only for five years reduces the monthly commitment by approximately $1,140 against principal and interest, and Lender A permits interest only on an investment purpose without an interest-rate loading.</w:t>
            </w:r>
          </w:p>
          <w:p>
            <w:pPr>
              <w:keepNext w:val="0"/>
              <w:keepLines/>
              <w:pageBreakBefore w:val="0"/>
              <w:widowControl w:val="1"/>
              <w:spacing w:before="100" w:after="0" w:line="341" w:lineRule="auto"/>
            </w:pPr>
            <w:r>
              <w:rPr>
                <w:rFonts w:ascii="Calibri" w:hAnsi="Calibri" w:cs="Calibri" w:eastAsia="Calibri"/>
                <w:b w:val="0"/>
                <w:i w:val="0"/>
                <w:color w:val="10192A"/>
                <w:sz w:val="19"/>
                <w:u w:val="none"/>
              </w:rPr>
              <w:t>You asked for some rate certainty. A 70/30 split fixes $194,400 for three years while leaving $453,600 variable and fully offset, so lump-sum reductions remain available once the second property settles.</w:t>
            </w:r>
          </w:p>
          <w:p>
            <w:pPr>
              <w:keepNext w:val="0"/>
              <w:keepLines/>
              <w:pageBreakBefore w:val="0"/>
              <w:widowControl w:val="1"/>
              <w:spacing w:before="100" w:after="0" w:line="341" w:lineRule="auto"/>
            </w:pPr>
            <w:r>
              <w:rPr>
                <w:rFonts w:ascii="Calibri" w:hAnsi="Calibri" w:cs="Calibri" w:eastAsia="Calibri"/>
                <w:b w:val="0"/>
                <w:i w:val="0"/>
                <w:color w:val="10192A"/>
                <w:sz w:val="19"/>
                <w:u w:val="none"/>
              </w:rPr>
              <w:t>You asked not to cross-collateralise. Lender A will take the new security standalone. Two lenders on the panel would not, and one would only at a higher rate.</w:t>
            </w:r>
          </w:p>
          <w:p>
            <w:pPr>
              <w:keepNext w:val="0"/>
              <w:keepLines/>
              <w:pageBreakBefore w:val="0"/>
              <w:widowControl w:val="1"/>
              <w:spacing w:before="100" w:after="0" w:line="341" w:lineRule="auto"/>
            </w:pPr>
            <w:r>
              <w:rPr>
                <w:rFonts w:ascii="Calibri" w:hAnsi="Calibri" w:cs="Calibri" w:eastAsia="Calibri"/>
                <w:b w:val="0"/>
                <w:i w:val="0"/>
                <w:color w:val="10192A"/>
                <w:sz w:val="19"/>
                <w:u w:val="none"/>
              </w:rPr>
              <w:t>The alternatives are set out in section four. Lender C is 0.05% cheaper on the headline rate and has no offset account, which on your typical $40,000 balance costs approximately $2,440 a year — more than the rate saves.</w:t>
            </w:r>
          </w:p>
        </w:tc>
      </w:tr>
    </w:tbl>
    <w:p>
      <w:pPr>
        <w:keepNext w:val="0"/>
        <w:keepLines/>
        <w:pageBreakBefore w:val="0"/>
        <w:widowControl w:val="1"/>
        <w:spacing w:before="0" w:after="0" w:line="240" w:lineRule="exact"/>
      </w:pPr>
      <w:r>
        <w:rPr>
          <w:sz w:val="2"/>
        </w:rPr>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04   </w:t>
      </w:r>
      <w:r>
        <w:rPr>
          <w:rFonts w:ascii="Georgia" w:hAnsi="Georgia" w:cs="Georgia" w:eastAsia="Georgia"/>
          <w:b w:val="0"/>
          <w:i w:val="0"/>
          <w:color w:val="0C2340"/>
          <w:spacing w:val="2"/>
          <w:sz w:val="34"/>
          <w:u w:val="none"/>
        </w:rPr>
        <w:t>Alternatives considered</w:t>
      </w:r>
    </w:p>
    <w:p>
      <w:pPr>
        <w:keepNext/>
        <w:keepLines/>
        <w:pageBreakBefore w:val="0"/>
        <w:widowControl w:val="1"/>
        <w:spacing w:before="0" w:after="100"/>
      </w:pPr>
      <w:r>
        <w:rPr>
          <w:rFonts w:ascii="Calibri" w:hAnsi="Calibri" w:cs="Calibri" w:eastAsia="Calibri"/>
          <w:b/>
          <w:i w:val="0"/>
          <w:caps w:val="1"/>
          <w:color w:val="4C5B73"/>
          <w:spacing w:val="36"/>
          <w:sz w:val="15"/>
          <w:u w:val="none"/>
        </w:rPr>
        <w:t>What else we assessed</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6"/>
          <w:sz w:val="15"/>
          <w:u w:val="none"/>
        </w:rPr>
        <w:t>Alternatives assessed</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Alternatives assessed"/>
        <w:tblDescription w:val="Compares: Lender A — recommended, Lender B, Lender C"/>
      </w:tblPr>
      <w:tblGrid>
        <w:gridCol w:w="2624"/>
        <w:gridCol w:w="2489"/>
        <w:gridCol w:w="2489"/>
        <w:gridCol w:w="2489"/>
      </w:tblGrid>
      <w:tr>
        <w:trPr>
          <w:cantSplit/>
          <w:trHeight w:val="510" w:hRule="atLeast"/>
          <w:tblHeader/>
        </w:trPr>
        <w:tc>
          <w:tcPr>
            <w:tcW w:type="dxa" w:w="2624"/>
            <w:tcBorders>
              <w:top w:val="nil"/>
              <w:left w:val="nil"/>
              <w:bottom w:val="single" w:sz="8" w:space="0" w:color="1D6FE0"/>
              <w:right w:val="single" w:sz="16" w:space="0" w:color="FFFFFF"/>
            </w:tcBorders>
            <w:shd w:val="clear" w:color="auto" w:fill="0C2340"/>
            <w:tcMar>
              <w:top w:w="118" w:type="dxa"/>
              <w:left w:w="165" w:type="dxa"/>
              <w:bottom w:w="118" w:type="dxa"/>
              <w:right w:w="165" w:type="dxa"/>
            </w:tcMar>
            <w:vAlign w:val="center"/>
          </w:tcPr>
          <w:p>
            <w:pPr>
              <w:keepNext w:val="0"/>
              <w:keepLines/>
              <w:pageBreakBefore w:val="0"/>
              <w:widowControl w:val="1"/>
              <w:spacing w:before="0" w:after="0" w:line="274" w:lineRule="auto"/>
            </w:pPr>
          </w:p>
        </w:tc>
        <w:tc>
          <w:tcPr>
            <w:tcW w:type="dxa" w:w="2489"/>
            <w:tcBorders>
              <w:top w:val="nil"/>
              <w:left w:val="nil"/>
              <w:bottom w:val="single" w:sz="8" w:space="0" w:color="1D6FE0"/>
              <w:right w:val="single" w:sz="16" w:space="0" w:color="FFFFFF"/>
            </w:tcBorders>
            <w:shd w:val="clear" w:color="auto" w:fill="1D6FE0"/>
            <w:tcMar>
              <w:top w:w="118" w:type="dxa"/>
              <w:left w:w="165" w:type="dxa"/>
              <w:bottom w:w="118" w:type="dxa"/>
              <w:right w:w="165"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Lender A — recommended</w:t>
            </w:r>
          </w:p>
        </w:tc>
        <w:tc>
          <w:tcPr>
            <w:tcW w:type="dxa" w:w="2489"/>
            <w:tcBorders>
              <w:top w:val="nil"/>
              <w:left w:val="nil"/>
              <w:bottom w:val="single" w:sz="8" w:space="0" w:color="1D6FE0"/>
              <w:right w:val="single" w:sz="16" w:space="0" w:color="FFFFFF"/>
            </w:tcBorders>
            <w:shd w:val="clear" w:color="auto" w:fill="0C2340"/>
            <w:tcMar>
              <w:top w:w="118" w:type="dxa"/>
              <w:left w:w="165" w:type="dxa"/>
              <w:bottom w:w="118" w:type="dxa"/>
              <w:right w:w="165"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Lender B</w:t>
            </w:r>
          </w:p>
        </w:tc>
        <w:tc>
          <w:tcPr>
            <w:tcW w:type="dxa" w:w="2489"/>
            <w:tcBorders>
              <w:top w:val="nil"/>
              <w:left w:val="nil"/>
              <w:bottom w:val="single" w:sz="8" w:space="0" w:color="1D6FE0"/>
              <w:right w:val="nil"/>
            </w:tcBorders>
            <w:shd w:val="clear" w:color="auto" w:fill="0C2340"/>
            <w:tcMar>
              <w:top w:w="118" w:type="dxa"/>
              <w:left w:w="165" w:type="dxa"/>
              <w:bottom w:w="118" w:type="dxa"/>
              <w:right w:w="165"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Lender C</w:t>
            </w:r>
          </w:p>
        </w:tc>
      </w:tr>
      <w:tr>
        <w:trPr>
          <w:cantSplit/>
        </w:trPr>
        <w:tc>
          <w:tcPr>
            <w:tcW w:type="dxa" w:w="2624"/>
            <w:tcBorders>
              <w:top w:val="nil"/>
              <w:left w:val="nil"/>
              <w:bottom w:val="single" w:sz="4" w:space="0" w:color="DCE3ED"/>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Rate</w:t>
            </w:r>
          </w:p>
        </w:tc>
        <w:tc>
          <w:tcPr>
            <w:tcW w:type="dxa" w:w="2489"/>
            <w:tcBorders>
              <w:top w:val="nil"/>
              <w:left w:val="nil"/>
              <w:bottom w:val="single" w:sz="4" w:space="0" w:color="DCE3ED"/>
              <w:right w:val="nil"/>
            </w:tcBorders>
            <w:shd w:val="clear" w:color="auto" w:fill="F2F7FE"/>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6.14%</w:t>
            </w:r>
          </w:p>
        </w:tc>
        <w:tc>
          <w:tcPr>
            <w:tcW w:type="dxa" w:w="2489"/>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6.22%</w:t>
            </w:r>
          </w:p>
        </w:tc>
        <w:tc>
          <w:tcPr>
            <w:tcW w:type="dxa" w:w="2489"/>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6.09%</w:t>
            </w:r>
          </w:p>
        </w:tc>
      </w:tr>
      <w:tr>
        <w:trPr>
          <w:cantSplit/>
        </w:trPr>
        <w:tc>
          <w:tcPr>
            <w:tcW w:type="dxa" w:w="2624"/>
            <w:tcBorders>
              <w:top w:val="nil"/>
              <w:left w:val="nil"/>
              <w:bottom w:val="single" w:sz="4" w:space="0" w:color="DCE3ED"/>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Interest only permitted</w:t>
            </w:r>
          </w:p>
        </w:tc>
        <w:tc>
          <w:tcPr>
            <w:tcW w:type="dxa" w:w="2489"/>
            <w:tcBorders>
              <w:top w:val="nil"/>
              <w:left w:val="nil"/>
              <w:bottom w:val="single" w:sz="4" w:space="0" w:color="DCE3ED"/>
              <w:right w:val="nil"/>
            </w:tcBorders>
            <w:shd w:val="clear" w:color="auto" w:fill="F2F7FE"/>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Yes, no loading</w:t>
            </w:r>
          </w:p>
        </w:tc>
        <w:tc>
          <w:tcPr>
            <w:tcW w:type="dxa" w:w="2489"/>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Yes, +0.15%</w:t>
            </w:r>
          </w:p>
        </w:tc>
        <w:tc>
          <w:tcPr>
            <w:tcW w:type="dxa" w:w="2489"/>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Yes, no loading</w:t>
            </w:r>
          </w:p>
        </w:tc>
      </w:tr>
      <w:tr>
        <w:trPr>
          <w:cantSplit/>
        </w:trPr>
        <w:tc>
          <w:tcPr>
            <w:tcW w:type="dxa" w:w="2624"/>
            <w:tcBorders>
              <w:top w:val="nil"/>
              <w:left w:val="nil"/>
              <w:bottom w:val="single" w:sz="4" w:space="0" w:color="DCE3ED"/>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Offset account</w:t>
            </w:r>
          </w:p>
        </w:tc>
        <w:tc>
          <w:tcPr>
            <w:tcW w:type="dxa" w:w="2489"/>
            <w:tcBorders>
              <w:top w:val="nil"/>
              <w:left w:val="nil"/>
              <w:bottom w:val="single" w:sz="4" w:space="0" w:color="DCE3ED"/>
              <w:right w:val="nil"/>
            </w:tcBorders>
            <w:shd w:val="clear" w:color="auto" w:fill="F2F7FE"/>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Yes</w:t>
            </w:r>
          </w:p>
        </w:tc>
        <w:tc>
          <w:tcPr>
            <w:tcW w:type="dxa" w:w="2489"/>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Yes</w:t>
            </w:r>
          </w:p>
        </w:tc>
        <w:tc>
          <w:tcPr>
            <w:tcW w:type="dxa" w:w="2489"/>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No</w:t>
            </w:r>
          </w:p>
        </w:tc>
      </w:tr>
      <w:tr>
        <w:trPr>
          <w:cantSplit/>
        </w:trPr>
        <w:tc>
          <w:tcPr>
            <w:tcW w:type="dxa" w:w="2624"/>
            <w:tcBorders>
              <w:top w:val="nil"/>
              <w:left w:val="nil"/>
              <w:bottom w:val="single" w:sz="4" w:space="0" w:color="DCE3ED"/>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Standalone security</w:t>
            </w:r>
          </w:p>
        </w:tc>
        <w:tc>
          <w:tcPr>
            <w:tcW w:type="dxa" w:w="2489"/>
            <w:tcBorders>
              <w:top w:val="nil"/>
              <w:left w:val="nil"/>
              <w:bottom w:val="single" w:sz="4" w:space="0" w:color="DCE3ED"/>
              <w:right w:val="nil"/>
            </w:tcBorders>
            <w:shd w:val="clear" w:color="auto" w:fill="F2F7FE"/>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Yes</w:t>
            </w:r>
          </w:p>
        </w:tc>
        <w:tc>
          <w:tcPr>
            <w:tcW w:type="dxa" w:w="2489"/>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Yes</w:t>
            </w:r>
          </w:p>
        </w:tc>
        <w:tc>
          <w:tcPr>
            <w:tcW w:type="dxa" w:w="2489"/>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No — requires cross-collateral</w:t>
            </w:r>
          </w:p>
        </w:tc>
      </w:tr>
      <w:tr>
        <w:trPr>
          <w:cantSplit/>
        </w:trPr>
        <w:tc>
          <w:tcPr>
            <w:tcW w:type="dxa" w:w="2624"/>
            <w:tcBorders>
              <w:top w:val="nil"/>
              <w:left w:val="nil"/>
              <w:bottom w:val="single" w:sz="4" w:space="0" w:color="DCE3ED"/>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Split permitted</w:t>
            </w:r>
          </w:p>
        </w:tc>
        <w:tc>
          <w:tcPr>
            <w:tcW w:type="dxa" w:w="2489"/>
            <w:tcBorders>
              <w:top w:val="nil"/>
              <w:left w:val="nil"/>
              <w:bottom w:val="single" w:sz="4" w:space="0" w:color="DCE3ED"/>
              <w:right w:val="nil"/>
            </w:tcBorders>
            <w:shd w:val="clear" w:color="auto" w:fill="F2F7FE"/>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Up to 6</w:t>
            </w:r>
          </w:p>
        </w:tc>
        <w:tc>
          <w:tcPr>
            <w:tcW w:type="dxa" w:w="2489"/>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Up to 4</w:t>
            </w:r>
          </w:p>
        </w:tc>
        <w:tc>
          <w:tcPr>
            <w:tcW w:type="dxa" w:w="2489"/>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No</w:t>
            </w:r>
          </w:p>
        </w:tc>
      </w:tr>
      <w:tr>
        <w:trPr>
          <w:cantSplit/>
        </w:trPr>
        <w:tc>
          <w:tcPr>
            <w:tcW w:type="dxa" w:w="2624"/>
            <w:tcBorders>
              <w:top w:val="nil"/>
              <w:left w:val="nil"/>
              <w:bottom w:val="single" w:sz="4" w:space="0" w:color="DCE3ED"/>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Annual fee</w:t>
            </w:r>
          </w:p>
        </w:tc>
        <w:tc>
          <w:tcPr>
            <w:tcW w:type="dxa" w:w="2489"/>
            <w:tcBorders>
              <w:top w:val="nil"/>
              <w:left w:val="nil"/>
              <w:bottom w:val="single" w:sz="4" w:space="0" w:color="DCE3ED"/>
              <w:right w:val="nil"/>
            </w:tcBorders>
            <w:shd w:val="clear" w:color="auto" w:fill="F2F7FE"/>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$395</w:t>
            </w:r>
          </w:p>
        </w:tc>
        <w:tc>
          <w:tcPr>
            <w:tcW w:type="dxa" w:w="2489"/>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$0</w:t>
            </w:r>
          </w:p>
        </w:tc>
        <w:tc>
          <w:tcPr>
            <w:tcW w:type="dxa" w:w="2489"/>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$0</w:t>
            </w:r>
          </w:p>
        </w:tc>
      </w:tr>
      <w:tr>
        <w:trPr>
          <w:cantSplit/>
        </w:trPr>
        <w:tc>
          <w:tcPr>
            <w:tcW w:type="dxa" w:w="2624"/>
            <w:tcBorders>
              <w:top w:val="nil"/>
              <w:left w:val="nil"/>
              <w:bottom w:val="single" w:sz="4" w:space="0" w:color="DCE3ED"/>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Meets your requirements</w:t>
            </w:r>
          </w:p>
        </w:tc>
        <w:tc>
          <w:tcPr>
            <w:tcW w:type="dxa" w:w="2489"/>
            <w:tcBorders>
              <w:top w:val="nil"/>
              <w:left w:val="nil"/>
              <w:bottom w:val="single" w:sz="4" w:space="0" w:color="DCE3ED"/>
              <w:right w:val="nil"/>
            </w:tcBorders>
            <w:shd w:val="clear" w:color="auto" w:fill="F2F7FE"/>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All five</w:t>
            </w:r>
          </w:p>
        </w:tc>
        <w:tc>
          <w:tcPr>
            <w:tcW w:type="dxa" w:w="2489"/>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Four of five</w:t>
            </w:r>
          </w:p>
        </w:tc>
        <w:tc>
          <w:tcPr>
            <w:tcW w:type="dxa" w:w="2489"/>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Two of five</w:t>
            </w:r>
          </w:p>
        </w:tc>
      </w:tr>
      <w:tr>
        <w:trPr>
          <w:cantSplit/>
        </w:trPr>
        <w:tc>
          <w:tcPr>
            <w:tcW w:type="dxa" w:w="2624"/>
            <w:tcBorders>
              <w:top w:val="nil"/>
              <w:left w:val="nil"/>
              <w:bottom w:val="single" w:sz="4" w:space="0" w:color="DCE3ED"/>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Why not recommended</w:t>
            </w:r>
          </w:p>
        </w:tc>
        <w:tc>
          <w:tcPr>
            <w:tcW w:type="dxa" w:w="2489"/>
            <w:tcBorders>
              <w:top w:val="nil"/>
              <w:left w:val="nil"/>
              <w:bottom w:val="single" w:sz="4" w:space="0" w:color="DCE3ED"/>
              <w:right w:val="nil"/>
            </w:tcBorders>
            <w:shd w:val="clear" w:color="auto" w:fill="F2F7FE"/>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w:t>
            </w:r>
          </w:p>
        </w:tc>
        <w:tc>
          <w:tcPr>
            <w:tcW w:type="dxa" w:w="2489"/>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IO loading of 0.15%</w:t>
            </w:r>
          </w:p>
        </w:tc>
        <w:tc>
          <w:tcPr>
            <w:tcW w:type="dxa" w:w="2489"/>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No offset; requires cross-collateralisation</w:t>
            </w:r>
          </w:p>
        </w:tc>
      </w:tr>
    </w:tbl>
    <w:p>
      <w:pPr>
        <w:keepNext/>
        <w:keepLines/>
        <w:pageBreakBefore w:val="0"/>
        <w:widowControl w:val="1"/>
        <w:spacing w:before="0" w:after="60"/>
      </w:pPr>
      <w:r>
        <w:rPr>
          <w:rFonts w:ascii="Georgia" w:hAnsi="Georgia" w:cs="Georgia" w:eastAsia="Georgia"/>
          <w:b w:val="0"/>
          <w:i w:val="0"/>
          <w:color w:val="1D6FE0"/>
          <w:spacing w:val="2"/>
          <w:sz w:val="34"/>
          <w:u w:val="none"/>
        </w:rPr>
        <w:t xml:space="preserve">05   </w:t>
      </w:r>
      <w:r>
        <w:rPr>
          <w:rFonts w:ascii="Georgia" w:hAnsi="Georgia" w:cs="Georgia" w:eastAsia="Georgia"/>
          <w:b w:val="0"/>
          <w:i w:val="0"/>
          <w:color w:val="0C2340"/>
          <w:spacing w:val="2"/>
          <w:sz w:val="34"/>
          <w:u w:val="none"/>
        </w:rPr>
        <w:t>Costs &amp; fees</w:t>
      </w:r>
    </w:p>
    <w:p>
      <w:pPr>
        <w:keepNext/>
        <w:keepLines/>
        <w:pageBreakBefore w:val="0"/>
        <w:widowControl w:val="1"/>
        <w:spacing w:before="0" w:after="100"/>
      </w:pPr>
      <w:r>
        <w:rPr>
          <w:rFonts w:ascii="Calibri" w:hAnsi="Calibri" w:cs="Calibri" w:eastAsia="Calibri"/>
          <w:b/>
          <w:i w:val="0"/>
          <w:caps w:val="1"/>
          <w:color w:val="4C5B73"/>
          <w:spacing w:val="36"/>
          <w:sz w:val="15"/>
          <w:u w:val="none"/>
        </w:rPr>
        <w:t>Everything payable</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6"/>
          <w:sz w:val="15"/>
          <w:u w:val="none"/>
        </w:rPr>
        <w:t>Costs and fees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Costs and fees"/>
        <w:tblDescription w:val="Columns: Fee, Amount, When, Payable to"/>
      </w:tblPr>
      <w:tblGrid>
        <w:gridCol w:w="3205"/>
        <w:gridCol w:w="1543"/>
        <w:gridCol w:w="3324"/>
        <w:gridCol w:w="2018"/>
      </w:tblGrid>
      <w:tr>
        <w:trPr>
          <w:cantSplit/>
          <w:trHeight w:val="420" w:hRule="atLeast"/>
          <w:tblHeader/>
        </w:trPr>
        <w:tc>
          <w:tcPr>
            <w:tcW w:type="dxa" w:w="3205"/>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Fee</w:t>
            </w:r>
          </w:p>
        </w:tc>
        <w:tc>
          <w:tcPr>
            <w:tcW w:type="dxa" w:w="1543"/>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Amount</w:t>
            </w:r>
          </w:p>
        </w:tc>
        <w:tc>
          <w:tcPr>
            <w:tcW w:type="dxa" w:w="3324"/>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When</w:t>
            </w:r>
          </w:p>
        </w:tc>
        <w:tc>
          <w:tcPr>
            <w:tcW w:type="dxa" w:w="2018"/>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Payable to</w:t>
            </w:r>
          </w:p>
        </w:tc>
      </w:tr>
      <w:tr>
        <w:trPr>
          <w:cantSplit/>
          <w:trHeight w:val="397" w:hRule="atLeast"/>
        </w:trPr>
        <w:tc>
          <w:tcPr>
            <w:tcW w:type="dxa" w:w="3205"/>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Application fee</w:t>
            </w:r>
          </w:p>
        </w:tc>
        <w:tc>
          <w:tcPr>
            <w:tcW w:type="dxa" w:w="1543"/>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$0</w:t>
            </w:r>
          </w:p>
        </w:tc>
        <w:tc>
          <w:tcPr>
            <w:tcW w:type="dxa" w:w="332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Waived under the package</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w:t>
            </w:r>
          </w:p>
        </w:tc>
      </w:tr>
      <w:tr>
        <w:trPr>
          <w:cantSplit/>
          <w:trHeight w:val="397" w:hRule="atLeast"/>
        </w:trPr>
        <w:tc>
          <w:tcPr>
            <w:tcW w:type="dxa" w:w="3205"/>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Valuation fee</w:t>
            </w:r>
          </w:p>
        </w:tc>
        <w:tc>
          <w:tcPr>
            <w:tcW w:type="dxa" w:w="1543"/>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$0</w:t>
            </w:r>
          </w:p>
        </w:tc>
        <w:tc>
          <w:tcPr>
            <w:tcW w:type="dxa" w:w="332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Waived under the package</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w:t>
            </w:r>
          </w:p>
        </w:tc>
      </w:tr>
      <w:tr>
        <w:trPr>
          <w:cantSplit/>
          <w:trHeight w:val="397" w:hRule="atLeast"/>
        </w:trPr>
        <w:tc>
          <w:tcPr>
            <w:tcW w:type="dxa" w:w="3205"/>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Settlement fee</w:t>
            </w:r>
          </w:p>
        </w:tc>
        <w:tc>
          <w:tcPr>
            <w:tcW w:type="dxa" w:w="1543"/>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$350</w:t>
            </w:r>
          </w:p>
        </w:tc>
        <w:tc>
          <w:tcPr>
            <w:tcW w:type="dxa" w:w="332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At settlement</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w:t>
            </w:r>
          </w:p>
        </w:tc>
      </w:tr>
      <w:tr>
        <w:trPr>
          <w:cantSplit/>
          <w:trHeight w:val="397" w:hRule="atLeast"/>
        </w:trPr>
        <w:tc>
          <w:tcPr>
            <w:tcW w:type="dxa" w:w="3205"/>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Annual package fee</w:t>
            </w:r>
          </w:p>
        </w:tc>
        <w:tc>
          <w:tcPr>
            <w:tcW w:type="dxa" w:w="1543"/>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$395</w:t>
            </w:r>
          </w:p>
        </w:tc>
        <w:tc>
          <w:tcPr>
            <w:tcW w:type="dxa" w:w="332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Annually from settlement</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w:t>
            </w:r>
          </w:p>
        </w:tc>
      </w:tr>
      <w:tr>
        <w:trPr>
          <w:cantSplit/>
          <w:trHeight w:val="397" w:hRule="atLeast"/>
        </w:trPr>
        <w:tc>
          <w:tcPr>
            <w:tcW w:type="dxa" w:w="3205"/>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Rate lock fee (optional)</w:t>
            </w:r>
          </w:p>
        </w:tc>
        <w:tc>
          <w:tcPr>
            <w:tcW w:type="dxa" w:w="1543"/>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$750</w:t>
            </w:r>
          </w:p>
        </w:tc>
        <w:tc>
          <w:tcPr>
            <w:tcW w:type="dxa" w:w="332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At application if elected</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w:t>
            </w:r>
          </w:p>
        </w:tc>
      </w:tr>
      <w:tr>
        <w:trPr>
          <w:cantSplit/>
          <w:trHeight w:val="397" w:hRule="atLeast"/>
        </w:trPr>
        <w:tc>
          <w:tcPr>
            <w:tcW w:type="dxa" w:w="3205"/>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Discharge fee</w:t>
            </w:r>
          </w:p>
        </w:tc>
        <w:tc>
          <w:tcPr>
            <w:tcW w:type="dxa" w:w="1543"/>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$350</w:t>
            </w:r>
          </w:p>
        </w:tc>
        <w:tc>
          <w:tcPr>
            <w:tcW w:type="dxa" w:w="332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If refinanced or repaid</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w:t>
            </w:r>
          </w:p>
        </w:tc>
      </w:tr>
      <w:tr>
        <w:trPr>
          <w:cantSplit/>
          <w:trHeight w:val="397" w:hRule="atLeast"/>
        </w:trPr>
        <w:tc>
          <w:tcPr>
            <w:tcW w:type="dxa" w:w="3205"/>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Broker fee</w:t>
            </w:r>
          </w:p>
        </w:tc>
        <w:tc>
          <w:tcPr>
            <w:tcW w:type="dxa" w:w="1543"/>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$0</w:t>
            </w:r>
          </w:p>
        </w:tc>
        <w:tc>
          <w:tcPr>
            <w:tcW w:type="dxa" w:w="332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r>
      <w:tr>
        <w:trPr>
          <w:cantSplit/>
          <w:trHeight w:val="397" w:hRule="atLeast"/>
        </w:trPr>
        <w:tc>
          <w:tcPr>
            <w:tcW w:type="dxa" w:w="3205"/>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keepLines/>
              <w:pageBreakBefore w:val="0"/>
              <w:widowControl w:val="1"/>
              <w:spacing w:before="0" w:after="0" w:line="293" w:lineRule="auto"/>
            </w:pPr>
            <w:r>
              <w:rPr>
                <w:rFonts w:ascii="Calibri" w:hAnsi="Calibri" w:cs="Calibri" w:eastAsia="Calibri"/>
                <w:b/>
                <w:i w:val="0"/>
                <w:color w:val="0C2340"/>
                <w:sz w:val="17"/>
                <w:u w:val="none"/>
              </w:rPr>
              <w:t>Payable at settlement</w:t>
            </w:r>
          </w:p>
        </w:tc>
        <w:tc>
          <w:tcPr>
            <w:tcW w:type="dxa" w:w="1543"/>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keepLines/>
              <w:pageBreakBefore w:val="0"/>
              <w:widowControl w:val="1"/>
              <w:spacing w:before="0" w:after="0" w:line="293" w:lineRule="auto"/>
              <w:jc w:val="right"/>
            </w:pPr>
            <w:r>
              <w:rPr>
                <w:rFonts w:ascii="Calibri" w:hAnsi="Calibri" w:cs="Calibri" w:eastAsia="Calibri"/>
                <w:b/>
                <w:i w:val="0"/>
                <w:color w:val="0C2340"/>
                <w:sz w:val="17"/>
                <w:u w:val="none"/>
              </w:rPr>
              <w:t>$350</w:t>
            </w:r>
          </w:p>
        </w:tc>
        <w:tc>
          <w:tcPr>
            <w:tcW w:type="dxa" w:w="3324"/>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keepLines/>
              <w:pageBreakBefore w:val="0"/>
              <w:widowControl w:val="1"/>
              <w:spacing w:before="0" w:after="0" w:line="293" w:lineRule="auto"/>
            </w:pPr>
          </w:p>
        </w:tc>
        <w:tc>
          <w:tcPr>
            <w:tcW w:type="dxa" w:w="2018"/>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keepLines/>
              <w:pageBreakBefore w:val="0"/>
              <w:widowControl w:val="1"/>
              <w:spacing w:before="0" w:after="0" w:line="293" w:lineRule="auto"/>
            </w:pP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Government charges (mortgage registration and transfer duty) are payable separately and are not included above.</w:t>
      </w:r>
    </w:p>
    <w:p>
      <w:pPr>
        <w:keepNext w:val="0"/>
        <w:keepLines/>
        <w:pageBreakBefore w:val="0"/>
        <w:widowControl w:val="1"/>
        <w:spacing w:before="0" w:after="0" w:line="240" w:lineRule="exact"/>
      </w:pPr>
      <w:r>
        <w:rPr>
          <w:sz w:val="2"/>
        </w:rPr>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06   </w:t>
      </w:r>
      <w:r>
        <w:rPr>
          <w:rFonts w:ascii="Georgia" w:hAnsi="Georgia" w:cs="Georgia" w:eastAsia="Georgia"/>
          <w:b w:val="0"/>
          <w:i w:val="0"/>
          <w:color w:val="0C2340"/>
          <w:spacing w:val="2"/>
          <w:sz w:val="34"/>
          <w:u w:val="none"/>
        </w:rPr>
        <w:t>Disclosures</w:t>
      </w:r>
    </w:p>
    <w:p>
      <w:pPr>
        <w:keepNext/>
        <w:keepLines/>
        <w:pageBreakBefore w:val="0"/>
        <w:widowControl w:val="1"/>
        <w:spacing w:before="0" w:after="100"/>
      </w:pPr>
      <w:r>
        <w:rPr>
          <w:rFonts w:ascii="Calibri" w:hAnsi="Calibri" w:cs="Calibri" w:eastAsia="Calibri"/>
          <w:b/>
          <w:i w:val="0"/>
          <w:caps w:val="1"/>
          <w:color w:val="4C5B73"/>
          <w:spacing w:val="36"/>
          <w:sz w:val="15"/>
          <w:u w:val="none"/>
        </w:rPr>
        <w:t>What you must be told</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4C5B73"/>
              <w:bottom w:val="single" w:sz="6" w:space="0" w:color="DCE3ED"/>
              <w:right w:val="single" w:sz="6" w:space="0" w:color="DCE3ED"/>
            </w:tcBorders>
            <w:shd w:val="clear" w:color="auto" w:fill="FFFFFF"/>
            <w:tcMar>
              <w:top w:w="212" w:type="dxa"/>
              <w:left w:w="247" w:type="dxa"/>
              <w:bottom w:w="212" w:type="dxa"/>
              <w:right w:w="247" w:type="dxa"/>
            </w:tcMar>
          </w:tcPr>
          <w:p>
            <w:pPr>
              <w:keepNext/>
              <w:keepLines/>
              <w:pageBreakBefore w:val="0"/>
              <w:widowControl w:val="1"/>
              <w:spacing w:before="0" w:after="80"/>
            </w:pPr>
            <w:r>
              <w:rPr>
                <w:rFonts w:ascii="Calibri" w:hAnsi="Calibri" w:cs="Calibri" w:eastAsia="Calibri"/>
                <w:b/>
                <w:i w:val="0"/>
                <w:caps w:val="1"/>
                <w:color w:val="4C5B73"/>
                <w:spacing w:val="36"/>
                <w:sz w:val="15"/>
                <w:u w:val="none"/>
              </w:rPr>
              <w:t>Disclosures</w:t>
            </w:r>
          </w:p>
          <w:p>
            <w:pPr>
              <w:keepNext w:val="0"/>
              <w:keepLines/>
              <w:pageBreakBefore w:val="0"/>
              <w:widowControl w:val="1"/>
              <w:spacing w:before="0" w:after="0" w:line="341" w:lineRule="auto"/>
            </w:pPr>
            <w:r>
              <w:rPr>
                <w:rFonts w:ascii="Calibri" w:hAnsi="Calibri" w:cs="Calibri" w:eastAsia="Calibri"/>
                <w:b w:val="0"/>
                <w:i w:val="0"/>
                <w:color w:val="10192A"/>
                <w:sz w:val="17"/>
                <w:u w:val="none"/>
              </w:rPr>
              <w:t>We are required to disclose the following, and you should read it before acting on this recommendation.</w:t>
            </w:r>
          </w:p>
          <w:p>
            <w:pPr>
              <w:keepNext w:val="0"/>
              <w:keepLines/>
              <w:pageBreakBefore w:val="0"/>
              <w:widowControl w:val="1"/>
              <w:spacing w:before="0" w:after="0" w:line="100" w:lineRule="exact"/>
            </w:pPr>
            <w:r>
              <w:rPr>
                <w:sz w:val="2"/>
              </w:rPr>
            </w:r>
          </w:p>
          <w:p>
            <w:pPr>
              <w:keepNext w:val="0"/>
              <w:keepLines/>
              <w:pageBreakBefore w:val="0"/>
              <w:widowControl w:val="1"/>
              <w:spacing w:before="0" w:after="0" w:line="341"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We will receive an upfront commission from the lender of approximately 0.65% of the loan amount, and a trail commission of approximately 0.18% per annum on the outstanding balance.</w:t>
            </w:r>
          </w:p>
          <w:p>
            <w:pPr>
              <w:keepNext w:val="0"/>
              <w:keepLines/>
              <w:pageBreakBefore w:val="0"/>
              <w:widowControl w:val="1"/>
              <w:spacing w:before="80" w:after="0" w:line="341"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Commission rates differ between lenders on our panel. The recommended lender is not the highest-paying lender on the panel.</w:t>
            </w:r>
          </w:p>
          <w:p>
            <w:pPr>
              <w:keepNext w:val="0"/>
              <w:keepLines/>
              <w:pageBreakBefore w:val="0"/>
              <w:widowControl w:val="1"/>
              <w:spacing w:before="80" w:after="0" w:line="341"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We access a panel of 14 lenders. We are not able to recommend products outside that panel and other lenders may offer more suitable products.</w:t>
            </w:r>
          </w:p>
          <w:p>
            <w:pPr>
              <w:keepNext w:val="0"/>
              <w:keepLines/>
              <w:pageBreakBefore w:val="0"/>
              <w:widowControl w:val="1"/>
              <w:spacing w:before="80" w:after="0" w:line="341"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We hold Australian Credit Licence {{org.acl}} and are authorised through {{org.aggregator}}.</w:t>
            </w:r>
          </w:p>
          <w:p>
            <w:pPr>
              <w:keepNext w:val="0"/>
              <w:keepLines/>
              <w:pageBreakBefore w:val="0"/>
              <w:widowControl w:val="1"/>
              <w:spacing w:before="80" w:after="0" w:line="341"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We have no ownership relationship with any lender on our panel.</w:t>
            </w:r>
          </w:p>
        </w:tc>
      </w:tr>
    </w:tbl>
    <w:p>
      <w:pPr>
        <w:keepNext/>
        <w:keepLines/>
        <w:pageBreakBefore w:val="0"/>
        <w:widowControl w:val="1"/>
        <w:spacing w:before="0" w:after="60"/>
      </w:pPr>
      <w:r>
        <w:rPr>
          <w:rFonts w:ascii="Georgia" w:hAnsi="Georgia" w:cs="Georgia" w:eastAsia="Georgia"/>
          <w:b w:val="0"/>
          <w:i w:val="0"/>
          <w:color w:val="1D6FE0"/>
          <w:spacing w:val="2"/>
          <w:sz w:val="34"/>
          <w:u w:val="none"/>
        </w:rPr>
        <w:t xml:space="preserve">07   </w:t>
      </w:r>
      <w:r>
        <w:rPr>
          <w:rFonts w:ascii="Georgia" w:hAnsi="Georgia" w:cs="Georgia" w:eastAsia="Georgia"/>
          <w:b w:val="0"/>
          <w:i w:val="0"/>
          <w:color w:val="0C2340"/>
          <w:spacing w:val="2"/>
          <w:sz w:val="34"/>
          <w:u w:val="none"/>
        </w:rPr>
        <w:t>Risks &amp; things to consider</w:t>
      </w:r>
    </w:p>
    <w:p>
      <w:pPr>
        <w:keepNext/>
        <w:keepLines/>
        <w:pageBreakBefore w:val="0"/>
        <w:widowControl w:val="1"/>
        <w:spacing w:before="0" w:after="100"/>
      </w:pPr>
      <w:r>
        <w:rPr>
          <w:rFonts w:ascii="Calibri" w:hAnsi="Calibri" w:cs="Calibri" w:eastAsia="Calibri"/>
          <w:b/>
          <w:i w:val="0"/>
          <w:caps w:val="1"/>
          <w:color w:val="4C5B73"/>
          <w:spacing w:val="36"/>
          <w:sz w:val="15"/>
          <w:u w:val="none"/>
        </w:rPr>
        <w:t>Before you accept</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p>
      <w:pPr>
        <w:keepNext/>
        <w:keepLines/>
        <w:pageBreakBefore w:val="0"/>
        <w:widowControl w:val="1"/>
        <w:spacing w:before="0" w:after="80"/>
      </w:pPr>
      <w:r>
        <w:rPr>
          <w:rFonts w:ascii="Calibri" w:hAnsi="Calibri" w:cs="Calibri" w:eastAsia="Calibri"/>
          <w:b/>
          <w:i w:val="0"/>
          <w:caps w:val="1"/>
          <w:color w:val="B3261E"/>
          <w:spacing w:val="36"/>
          <w:sz w:val="15"/>
          <w:u w:val="none"/>
        </w:rPr>
        <w:t>Risks &amp; things to consider</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Risks &amp; things to consider"/>
        <w:tblDescription w:val="Columns: Risk, Severity, Mitigation"/>
      </w:tblPr>
      <w:tblGrid>
        <w:gridCol w:w="4037"/>
        <w:gridCol w:w="1413"/>
        <w:gridCol w:w="4642"/>
      </w:tblGrid>
      <w:tr>
        <w:trPr>
          <w:cantSplit/>
          <w:tblHeader/>
        </w:trPr>
        <w:tc>
          <w:tcPr>
            <w:tcW w:type="dxa" w:w="4037"/>
            <w:tcBorders>
              <w:top w:val="nil"/>
              <w:left w:val="nil"/>
              <w:bottom w:val="single" w:sz="8" w:space="0" w:color="1D6FE0"/>
              <w:right w:val="nil"/>
            </w:tcBorders>
            <w:shd w:val="clear" w:color="auto" w:fill="0C2340"/>
            <w:tcMar>
              <w:top w:w="118" w:type="dxa"/>
              <w:left w:w="165" w:type="dxa"/>
              <w:bottom w:w="118" w:type="dxa"/>
              <w:right w:w="165"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Risk</w:t>
            </w:r>
          </w:p>
        </w:tc>
        <w:tc>
          <w:tcPr>
            <w:tcW w:type="dxa" w:w="1413"/>
            <w:tcBorders>
              <w:top w:val="nil"/>
              <w:left w:val="nil"/>
              <w:bottom w:val="single" w:sz="8" w:space="0" w:color="1D6FE0"/>
              <w:right w:val="nil"/>
            </w:tcBorders>
            <w:shd w:val="clear" w:color="auto" w:fill="0C2340"/>
            <w:tcMar>
              <w:top w:w="118" w:type="dxa"/>
              <w:left w:w="165" w:type="dxa"/>
              <w:bottom w:w="118" w:type="dxa"/>
              <w:right w:w="165"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Severity</w:t>
            </w:r>
          </w:p>
        </w:tc>
        <w:tc>
          <w:tcPr>
            <w:tcW w:type="dxa" w:w="4642"/>
            <w:tcBorders>
              <w:top w:val="nil"/>
              <w:left w:val="nil"/>
              <w:bottom w:val="single" w:sz="8" w:space="0" w:color="1D6FE0"/>
              <w:right w:val="nil"/>
            </w:tcBorders>
            <w:shd w:val="clear" w:color="auto" w:fill="0C2340"/>
            <w:tcMar>
              <w:top w:w="118" w:type="dxa"/>
              <w:left w:w="165" w:type="dxa"/>
              <w:bottom w:w="118" w:type="dxa"/>
              <w:right w:w="165"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Mitigation</w:t>
            </w:r>
          </w:p>
        </w:tc>
      </w:tr>
      <w:tr>
        <w:trPr>
          <w:cantSplit/>
        </w:trPr>
        <w:tc>
          <w:tcPr>
            <w:tcW w:type="dxa" w:w="403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The interest-only period ends after five years</w:t>
            </w:r>
          </w:p>
        </w:tc>
        <w:tc>
          <w:tcPr>
            <w:tcW w:type="dxa" w:w="1413"/>
            <w:tcBorders>
              <w:top w:val="nil"/>
              <w:left w:val="nil"/>
              <w:bottom w:val="single" w:sz="4" w:space="0" w:color="DCE3ED"/>
              <w:right w:val="nil"/>
            </w:tcBorders>
            <w:shd w:val="clear" w:color="auto" w:fill="FBECEA"/>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Repayments will increase by approximately $1,340 a month when the loan reverts to principal and interest over the remaining 25-year term. Plan for this now, not in year five.</w:t>
            </w:r>
          </w:p>
        </w:tc>
      </w:tr>
      <w:tr>
        <w:trPr>
          <w:cantSplit/>
        </w:trPr>
        <w:tc>
          <w:tcPr>
            <w:tcW w:type="dxa" w:w="403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Break costs apply to the fixed portion</w:t>
            </w:r>
          </w:p>
        </w:tc>
        <w:tc>
          <w:tcPr>
            <w:tcW w:type="dxa" w:w="1413"/>
            <w:tcBorders>
              <w:top w:val="nil"/>
              <w:left w:val="nil"/>
              <w:bottom w:val="single" w:sz="4" w:space="0" w:color="DCE3ED"/>
              <w:right w:val="nil"/>
            </w:tcBorders>
            <w:shd w:val="clear" w:color="auto" w:fill="FBF1E0"/>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Repaying or refinancing the fixed $194,400 before the three-year term ends may incur a break cost that cannot be quantified in advance.</w:t>
            </w:r>
          </w:p>
        </w:tc>
      </w:tr>
      <w:tr>
        <w:trPr>
          <w:cantSplit/>
        </w:trPr>
        <w:tc>
          <w:tcPr>
            <w:tcW w:type="dxa" w:w="403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Rates may rise</w:t>
            </w:r>
          </w:p>
        </w:tc>
        <w:tc>
          <w:tcPr>
            <w:tcW w:type="dxa" w:w="1413"/>
            <w:tcBorders>
              <w:top w:val="nil"/>
              <w:left w:val="nil"/>
              <w:bottom w:val="single" w:sz="4" w:space="0" w:color="DCE3ED"/>
              <w:right w:val="nil"/>
            </w:tcBorders>
            <w:shd w:val="clear" w:color="auto" w:fill="FBF1E0"/>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The variable portion is unhedged. At +2% your repayment increases by approximately $756 a month. We have stress-tested your position at +2% and it remains serviceable.</w:t>
            </w:r>
          </w:p>
        </w:tc>
      </w:tr>
      <w:tr>
        <w:trPr>
          <w:cantSplit/>
        </w:trPr>
        <w:tc>
          <w:tcPr>
            <w:tcW w:type="dxa" w:w="403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Approval is not guaranteed</w:t>
            </w:r>
          </w:p>
        </w:tc>
        <w:tc>
          <w:tcPr>
            <w:tcW w:type="dxa" w:w="1413"/>
            <w:tcBorders>
              <w:top w:val="nil"/>
              <w:left w:val="nil"/>
              <w:bottom w:val="single" w:sz="4" w:space="0" w:color="DCE3ED"/>
              <w:right w:val="nil"/>
            </w:tcBorders>
            <w:shd w:val="clear" w:color="auto" w:fill="FBF1E0"/>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This is a recommendation, not an approval. The lender will form its own view on a full application and may decline or vary the terms.</w:t>
            </w:r>
          </w:p>
        </w:tc>
      </w:tr>
    </w:tbl>
    <w:p>
      <w:pPr>
        <w:keepNext w:val="0"/>
        <w:keepLines/>
        <w:pageBreakBefore w:val="0"/>
        <w:widowControl w:val="1"/>
        <w:spacing w:before="0" w:after="0" w:line="240" w:lineRule="exact"/>
      </w:pPr>
      <w:r>
        <w:rPr>
          <w:sz w:val="2"/>
        </w:rPr>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08   </w:t>
      </w:r>
      <w:r>
        <w:rPr>
          <w:rFonts w:ascii="Georgia" w:hAnsi="Georgia" w:cs="Georgia" w:eastAsia="Georgia"/>
          <w:b w:val="0"/>
          <w:i w:val="0"/>
          <w:color w:val="0C2340"/>
          <w:spacing w:val="2"/>
          <w:sz w:val="34"/>
          <w:u w:val="none"/>
        </w:rPr>
        <w:t>Next steps</w:t>
      </w:r>
    </w:p>
    <w:p>
      <w:pPr>
        <w:keepNext/>
        <w:keepLines/>
        <w:pageBreakBefore w:val="0"/>
        <w:widowControl w:val="1"/>
        <w:spacing w:before="0" w:after="100"/>
      </w:pPr>
      <w:r>
        <w:rPr>
          <w:rFonts w:ascii="Calibri" w:hAnsi="Calibri" w:cs="Calibri" w:eastAsia="Calibri"/>
          <w:b/>
          <w:i w:val="0"/>
          <w:caps w:val="1"/>
          <w:color w:val="4C5B73"/>
          <w:spacing w:val="36"/>
          <w:sz w:val="15"/>
          <w:u w:val="none"/>
        </w:rPr>
        <w:t>From acceptance to settlement</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680"/>
        <w:gridCol w:w="2268"/>
        <w:gridCol w:w="7143"/>
      </w:tblGrid>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D6FE0"/>
                <w:sz w:val="21"/>
                <w:u w:val="none"/>
              </w:rPr>
              <w:t>1</w:t>
            </w:r>
          </w:p>
        </w:tc>
        <w:tc>
          <w:tcPr>
            <w:tcW w:type="dxa" w:w="2268"/>
            <w:tcBorders>
              <w:top w:val="single" w:sz="4" w:space="0" w:color="FFFFFF"/>
              <w:left w:val="nil"/>
              <w:bottom w:val="single" w:sz="4" w:space="0" w:color="FFFFFF"/>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Accept</w:t>
            </w:r>
          </w:p>
        </w:tc>
        <w:tc>
          <w:tcPr>
            <w:tcW w:type="dxa" w:w="7143"/>
            <w:tcBorders>
              <w:top w:val="single" w:sz="4" w:space="0" w:color="FFFFFF"/>
              <w:left w:val="nil"/>
              <w:bottom w:val="single" w:sz="4" w:space="0" w:color="FFFFFF"/>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Sign the acknowledgement below and return it.</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D6FE0"/>
                <w:sz w:val="21"/>
                <w:u w:val="none"/>
              </w:rPr>
              <w:t>2</w:t>
            </w:r>
          </w:p>
        </w:tc>
        <w:tc>
          <w:tcPr>
            <w:tcW w:type="dxa" w:w="2268"/>
            <w:tcBorders>
              <w:top w:val="single" w:sz="4" w:space="0" w:color="FFFFFF"/>
              <w:left w:val="nil"/>
              <w:bottom w:val="single" w:sz="4" w:space="0" w:color="FFFFFF"/>
              <w:right w:val="nil"/>
            </w:tcBorders>
            <w:shd w:val="clear" w:color="auto" w:fill="F7F9FC"/>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Documents</w:t>
            </w:r>
          </w:p>
        </w:tc>
        <w:tc>
          <w:tcPr>
            <w:tcW w:type="dxa" w:w="7143"/>
            <w:tcBorders>
              <w:top w:val="single" w:sz="4" w:space="0" w:color="FFFFFF"/>
              <w:left w:val="nil"/>
              <w:bottom w:val="single" w:sz="4" w:space="0" w:color="FFFFFF"/>
              <w:right w:val="nil"/>
            </w:tcBorders>
            <w:shd w:val="clear" w:color="auto" w:fill="F7F9FC"/>
            <w:tcMar>
              <w:top w:w="118" w:type="dxa"/>
              <w:left w:w="165" w:type="dxa"/>
              <w:bottom w:w="118" w:type="dxa"/>
              <w:right w:w="165"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Provide payslips, tax returns and the contract of sale.</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D6FE0"/>
                <w:sz w:val="21"/>
                <w:u w:val="none"/>
              </w:rPr>
              <w:t>3</w:t>
            </w:r>
          </w:p>
        </w:tc>
        <w:tc>
          <w:tcPr>
            <w:tcW w:type="dxa" w:w="2268"/>
            <w:tcBorders>
              <w:top w:val="single" w:sz="4" w:space="0" w:color="FFFFFF"/>
              <w:left w:val="nil"/>
              <w:bottom w:val="single" w:sz="4" w:space="0" w:color="FFFFFF"/>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Submit</w:t>
            </w:r>
          </w:p>
        </w:tc>
        <w:tc>
          <w:tcPr>
            <w:tcW w:type="dxa" w:w="7143"/>
            <w:tcBorders>
              <w:top w:val="single" w:sz="4" w:space="0" w:color="FFFFFF"/>
              <w:left w:val="nil"/>
              <w:bottom w:val="single" w:sz="4" w:space="0" w:color="FFFFFF"/>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We lodge the application; assessment typically takes 5–8 days.</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D6FE0"/>
                <w:sz w:val="21"/>
                <w:u w:val="none"/>
              </w:rPr>
              <w:t>4</w:t>
            </w:r>
          </w:p>
        </w:tc>
        <w:tc>
          <w:tcPr>
            <w:tcW w:type="dxa" w:w="2268"/>
            <w:tcBorders>
              <w:top w:val="single" w:sz="4" w:space="0" w:color="FFFFFF"/>
              <w:left w:val="nil"/>
              <w:bottom w:val="single" w:sz="4" w:space="0" w:color="FFFFFF"/>
              <w:right w:val="nil"/>
            </w:tcBorders>
            <w:shd w:val="clear" w:color="auto" w:fill="F7F9FC"/>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Approve</w:t>
            </w:r>
          </w:p>
        </w:tc>
        <w:tc>
          <w:tcPr>
            <w:tcW w:type="dxa" w:w="7143"/>
            <w:tcBorders>
              <w:top w:val="single" w:sz="4" w:space="0" w:color="FFFFFF"/>
              <w:left w:val="nil"/>
              <w:bottom w:val="single" w:sz="4" w:space="0" w:color="FFFFFF"/>
              <w:right w:val="nil"/>
            </w:tcBorders>
            <w:shd w:val="clear" w:color="auto" w:fill="F7F9FC"/>
            <w:tcMar>
              <w:top w:w="118" w:type="dxa"/>
              <w:left w:w="165" w:type="dxa"/>
              <w:bottom w:w="118" w:type="dxa"/>
              <w:right w:w="165"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Formal approval issued; you review and sign the loan documents.</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D6FE0"/>
                <w:sz w:val="21"/>
                <w:u w:val="none"/>
              </w:rPr>
              <w:t>5</w:t>
            </w:r>
          </w:p>
        </w:tc>
        <w:tc>
          <w:tcPr>
            <w:tcW w:type="dxa" w:w="2268"/>
            <w:tcBorders>
              <w:top w:val="single" w:sz="4" w:space="0" w:color="FFFFFF"/>
              <w:left w:val="nil"/>
              <w:bottom w:val="single" w:sz="4" w:space="0" w:color="FFFFFF"/>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Settle</w:t>
            </w:r>
          </w:p>
        </w:tc>
        <w:tc>
          <w:tcPr>
            <w:tcW w:type="dxa" w:w="7143"/>
            <w:tcBorders>
              <w:top w:val="single" w:sz="4" w:space="0" w:color="FFFFFF"/>
              <w:left w:val="nil"/>
              <w:bottom w:val="single" w:sz="4" w:space="0" w:color="FFFFFF"/>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Settlement booked with your conveyancer.</w:t>
            </w:r>
          </w:p>
        </w:tc>
      </w:tr>
    </w:tbl>
    <w:p>
      <w:pPr>
        <w:keepNext w:val="0"/>
        <w:keepLines/>
        <w:pageBreakBefore w:val="0"/>
        <w:widowControl w:val="1"/>
        <w:spacing w:before="0" w:after="0" w:line="240" w:lineRule="exact"/>
      </w:pPr>
      <w:r>
        <w:rPr>
          <w:sz w:val="2"/>
        </w:rPr>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09   </w:t>
      </w:r>
      <w:r>
        <w:rPr>
          <w:rFonts w:ascii="Georgia" w:hAnsi="Georgia" w:cs="Georgia" w:eastAsia="Georgia"/>
          <w:b w:val="0"/>
          <w:i w:val="0"/>
          <w:color w:val="0C2340"/>
          <w:spacing w:val="2"/>
          <w:sz w:val="34"/>
          <w:u w:val="none"/>
        </w:rPr>
        <w:t>Acknowledgement</w:t>
      </w:r>
    </w:p>
    <w:p>
      <w:pPr>
        <w:keepNext/>
        <w:keepLines/>
        <w:pageBreakBefore w:val="0"/>
        <w:widowControl w:val="1"/>
        <w:spacing w:before="0" w:after="100"/>
      </w:pPr>
      <w:r>
        <w:rPr>
          <w:rFonts w:ascii="Calibri" w:hAnsi="Calibri" w:cs="Calibri" w:eastAsia="Calibri"/>
          <w:b/>
          <w:i w:val="0"/>
          <w:caps w:val="1"/>
          <w:color w:val="4C5B73"/>
          <w:spacing w:val="36"/>
          <w:sz w:val="15"/>
          <w:u w:val="none"/>
        </w:rPr>
        <w:t>Your confirmation</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B4CDF3"/>
              <w:left w:val="single" w:sz="18" w:space="0" w:color="1554AE"/>
              <w:bottom w:val="single" w:sz="6" w:space="0" w:color="B4CDF3"/>
              <w:right w:val="single" w:sz="6" w:space="0" w:color="B4CDF3"/>
            </w:tcBorders>
            <w:shd w:val="clear" w:color="auto" w:fill="FFFFFF"/>
            <w:tcMar>
              <w:top w:w="212" w:type="dxa"/>
              <w:left w:w="247" w:type="dxa"/>
              <w:bottom w:w="212" w:type="dxa"/>
              <w:right w:w="247" w:type="dxa"/>
            </w:tcMar>
          </w:tcPr>
          <w:p>
            <w:pPr>
              <w:keepNext/>
              <w:keepLines/>
              <w:pageBreakBefore w:val="0"/>
              <w:widowControl w:val="1"/>
              <w:spacing w:before="0" w:after="80"/>
            </w:pPr>
            <w:r>
              <w:rPr>
                <w:rFonts w:ascii="Calibri" w:hAnsi="Calibri" w:cs="Calibri" w:eastAsia="Calibri"/>
                <w:b/>
                <w:i w:val="0"/>
                <w:caps w:val="1"/>
                <w:color w:val="1554AE"/>
                <w:spacing w:val="36"/>
                <w:sz w:val="15"/>
                <w:u w:val="none"/>
              </w:rPr>
              <w:t>What you are acknowledging</w:t>
            </w:r>
          </w:p>
          <w:p>
            <w:pPr>
              <w:keepNext w:val="0"/>
              <w:keepLines/>
              <w:pageBreakBefore w:val="0"/>
              <w:widowControl w:val="1"/>
              <w:spacing w:before="0" w:after="0" w:line="341" w:lineRule="auto"/>
            </w:pPr>
            <w:r>
              <w:rPr>
                <w:rFonts w:ascii="Calibri" w:hAnsi="Calibri" w:cs="Calibri" w:eastAsia="Calibri"/>
                <w:b w:val="0"/>
                <w:i w:val="0"/>
                <w:color w:val="10192A"/>
                <w:sz w:val="17"/>
                <w:u w:val="none"/>
              </w:rPr>
              <w:t>By signing below you confirm that you have read this recommendation, that the objectives and requirements recorded in section one are accurate, that you have read the disclosures in section six, and that you understand this is a recommendation and not an approval.</w:t>
            </w:r>
          </w:p>
        </w:tc>
      </w:tr>
    </w:tbl>
    <w:p>
      <w:pPr>
        <w:keepNext w:val="0"/>
        <w:keepLines/>
        <w:pageBreakBefore w:val="0"/>
        <w:widowControl w:val="1"/>
        <w:spacing w:before="0" w:after="0" w:line="168"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Calibri" w:hAnsi="Calibri" w:cs="Calibri" w:eastAsia="Calibri"/>
                <w:b/>
                <w:i w:val="0"/>
                <w:caps w:val="1"/>
                <w:color w:val="0C2340"/>
                <w:spacing w:val="36"/>
                <w:sz w:val="16"/>
                <w:u w:val="none"/>
              </w:rPr>
              <w:t>Applicant 1</w:t>
            </w:r>
          </w:p>
          <w:p>
            <w:pPr>
              <w:keepNext w:val="0"/>
              <w:keepLines/>
              <w:pageBreakBefore w:val="0"/>
              <w:widowControl w:val="1"/>
              <w:spacing w:before="0" w:after="0" w:line="288" w:lineRule="auto"/>
            </w:pPr>
            <w:r>
              <w:rPr>
                <w:rFonts w:ascii="Calibri" w:hAnsi="Calibri" w:cs="Calibri" w:eastAsia="Calibri"/>
                <w:b/>
                <w:i w:val="0"/>
                <w:caps w:val="1"/>
                <w:color w:val="4C5B73"/>
                <w:spacing w:val="20"/>
                <w:sz w:val="14"/>
                <w:u w:val="none"/>
              </w:rPr>
              <w:t xml:space="preserve">Full name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Signature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Date   </w:t>
            </w:r>
            <w:r>
              <w:rPr>
                <w:rFonts w:ascii="Calibri" w:hAnsi="Calibri" w:cs="Calibri" w:eastAsia="Calibri"/>
                <w:b w:val="0"/>
                <w:i w:val="0"/>
                <w:color w:val="10192A"/>
                <w:sz w:val="17"/>
                <w:u w:val="none"/>
              </w:rPr>
              <w:t>____ / ____ / ______</w:t>
            </w:r>
          </w:p>
        </w:tc>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Calibri" w:hAnsi="Calibri" w:cs="Calibri" w:eastAsia="Calibri"/>
                <w:b/>
                <w:i w:val="0"/>
                <w:caps w:val="1"/>
                <w:color w:val="0C2340"/>
                <w:spacing w:val="36"/>
                <w:sz w:val="16"/>
                <w:u w:val="none"/>
              </w:rPr>
              <w:t>Applicant 2</w:t>
            </w:r>
          </w:p>
          <w:p>
            <w:pPr>
              <w:keepNext w:val="0"/>
              <w:keepLines/>
              <w:pageBreakBefore w:val="0"/>
              <w:widowControl w:val="1"/>
              <w:spacing w:before="0" w:after="0" w:line="288" w:lineRule="auto"/>
            </w:pPr>
            <w:r>
              <w:rPr>
                <w:rFonts w:ascii="Calibri" w:hAnsi="Calibri" w:cs="Calibri" w:eastAsia="Calibri"/>
                <w:b/>
                <w:i w:val="0"/>
                <w:caps w:val="1"/>
                <w:color w:val="4C5B73"/>
                <w:spacing w:val="20"/>
                <w:sz w:val="14"/>
                <w:u w:val="none"/>
              </w:rPr>
              <w:t xml:space="preserve">Full name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Signature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Date   </w:t>
            </w:r>
            <w:r>
              <w:rPr>
                <w:rFonts w:ascii="Calibri" w:hAnsi="Calibri" w:cs="Calibri" w:eastAsia="Calibri"/>
                <w:b w:val="0"/>
                <w:i w:val="0"/>
                <w:color w:val="10192A"/>
                <w:sz w:val="17"/>
                <w:u w:val="none"/>
              </w:rPr>
              <w:t>____ / ____ / ______</w:t>
            </w:r>
          </w:p>
        </w:tc>
      </w:tr>
    </w:tbl>
    <w:p>
      <w:pPr>
        <w:keepNext/>
        <w:keepLines/>
        <w:pageBreakBefore w:val="1"/>
        <w:widowControl w:val="1"/>
        <w:spacing w:before="0" w:after="60"/>
      </w:pPr>
      <w:r>
        <w:rPr>
          <w:rFonts w:ascii="Georgia" w:hAnsi="Georgia" w:cs="Georgia" w:eastAsia="Georgia"/>
          <w:b w:val="0"/>
          <w:i w:val="0"/>
          <w:color w:val="0C2340"/>
          <w:spacing w:val="2"/>
          <w:sz w:val="34"/>
          <w:u w:val="none"/>
        </w:rPr>
        <w:t>Important information</w:t>
      </w:r>
    </w:p>
    <w:p>
      <w:pPr>
        <w:keepNext/>
        <w:keepLines/>
        <w:pageBreakBefore w:val="0"/>
        <w:widowControl w:val="1"/>
        <w:spacing w:before="0" w:after="100"/>
      </w:pPr>
      <w:r>
        <w:rPr>
          <w:rFonts w:ascii="Calibri" w:hAnsi="Calibri" w:cs="Calibri" w:eastAsia="Calibri"/>
          <w:b/>
          <w:i w:val="0"/>
          <w:caps w:val="1"/>
          <w:color w:val="4C5B73"/>
          <w:spacing w:val="36"/>
          <w:sz w:val="15"/>
          <w:u w:val="none"/>
        </w:rPr>
        <w:t>Disclaimer, privacy and terms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p>
      <w:pPr>
        <w:keepNext/>
        <w:keepLines/>
        <w:pageBreakBefore w:val="0"/>
        <w:widowControl w:val="1"/>
        <w:spacing w:before="160" w:after="80"/>
      </w:pPr>
      <w:r>
        <w:rPr>
          <w:rFonts w:ascii="Georgia" w:hAnsi="Georgia" w:cs="Georgia" w:eastAsia="Georgia"/>
          <w:b/>
          <w:i w:val="0"/>
          <w:color w:val="0C2340"/>
          <w:sz w:val="21"/>
          <w:u w:val="none"/>
        </w:rPr>
        <w:t>Disclaimer</w:t>
      </w:r>
    </w:p>
    <w:p>
      <w:pPr>
        <w:keepNext w:val="0"/>
        <w:keepLines/>
        <w:pageBreakBefore w:val="0"/>
        <w:widowControl w:val="1"/>
        <w:spacing w:before="0" w:after="0" w:line="341"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C2340"/>
          <w:sz w:val="21"/>
          <w:u w:val="none"/>
        </w:rPr>
        <w:t>Privacy</w:t>
      </w:r>
    </w:p>
    <w:p>
      <w:pPr>
        <w:keepNext w:val="0"/>
        <w:keepLines/>
        <w:pageBreakBefore w:val="0"/>
        <w:widowControl w:val="1"/>
        <w:spacing w:before="0" w:after="0" w:line="341"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C2340"/>
          <w:sz w:val="21"/>
          <w:u w:val="none"/>
        </w:rPr>
        <w:t>Terms of use</w:t>
      </w:r>
    </w:p>
    <w:p>
      <w:pPr>
        <w:keepNext w:val="0"/>
        <w:keepLines/>
        <w:pageBreakBefore w:val="0"/>
        <w:widowControl w:val="1"/>
        <w:spacing w:before="0" w:after="0" w:line="341"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6"/>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6"/>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36"/>
              <w:sz w:val="14"/>
              <w:u w:val="none"/>
            </w:rPr>
            <w:t>Aurixa Systems</w:t>
          </w:r>
        </w:p>
      </w:tc>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36"/>
              <w:sz w:val="14"/>
              <w:u w:val="none"/>
            </w:rPr>
            <w:t>Lending Recommendation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41"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Lending Recommendation Report</dc:title>
  <dc:subject>A formal recommendation of a lender, product and structure, with the reasoning, alternatives considered and the disclosures that must accompany it.</dc:subject>
  <dc:creator>Aurixa Systems</dc:creator>
  <cp:keywords>Lending recommendation, Credit recommendation, Preliminary assessment, Finance &amp; Lending,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