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{{edition.period}}</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{{edition.title}}</w:t>
            </w:r>
          </w:p>
          <w:p>
            <w:pPr>
              <w:keepNext w:val="0"/>
              <w:keepLines/>
              <w:pageBreakBefore w:val="0"/>
              <w:widowControl w:val="1"/>
              <w:spacing w:before="0" w:after="0" w:line="322" w:lineRule="auto"/>
            </w:pPr>
            <w:r>
              <w:rPr>
                <w:rFonts w:ascii="Calibri" w:hAnsi="Calibri" w:cs="Calibri" w:eastAsia="Calibri"/>
                <w:b w:val="0"/>
                <w:i w:val="0"/>
                <w:color w:val="AFC0D6"/>
                <w:sz w:val="22"/>
                <w:u w:val="none"/>
              </w:rPr>
              <w:t>{{edition.subtitle}}</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4 REGIONS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QUARTERLY</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 AT 30/06/26</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{{document.reference}}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{{document.version}}</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Contents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Contents</w:t>
            </w:r>
          </w:p>
        </w:tc>
      </w:tr>
    </w:tbl>
    <w:p>
      <w:pPr>
        <w:keepNext w:val="1"/>
        <w:keepLines/>
        <w:pageBreakBefore w:val="0"/>
        <w:widowControl w:val="1"/>
        <w:spacing w:before="0" w:after="0" w:line="18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In this edition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National / state overview</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Key indicators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1    </w:t>
      </w:r>
      <w:r>
        <w:rPr>
          <w:rFonts w:ascii="Calibri" w:hAnsi="Calibri" w:cs="Calibri" w:eastAsia="Calibri"/>
          <w:b w:val="0"/>
          <w:i w:val="0"/>
          <w:color w:val="10192A"/>
          <w:sz w:val="19"/>
          <w:u w:val="none"/>
        </w:rPr>
        <w:t>Region profiles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2    </w:t>
      </w:r>
      <w:r>
        <w:rPr>
          <w:rFonts w:ascii="Calibri" w:hAnsi="Calibri" w:cs="Calibri" w:eastAsia="Calibri"/>
          <w:b w:val="0"/>
          <w:i w:val="0"/>
          <w:color w:val="10192A"/>
          <w:sz w:val="19"/>
          <w:u w:val="none"/>
        </w:rPr>
        <w:t>Comparative table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3    </w:t>
      </w:r>
      <w:r>
        <w:rPr>
          <w:rFonts w:ascii="Calibri" w:hAnsi="Calibri" w:cs="Calibri" w:eastAsia="Calibri"/>
          <w:b w:val="0"/>
          <w:i w:val="0"/>
          <w:color w:val="10192A"/>
          <w:sz w:val="19"/>
          <w:u w:val="none"/>
        </w:rPr>
        <w:t>Outlook</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A    </w:t>
      </w:r>
      <w:r>
        <w:rPr>
          <w:rFonts w:ascii="Calibri" w:hAnsi="Calibri" w:cs="Calibri" w:eastAsia="Calibri"/>
          <w:b w:val="0"/>
          <w:i w:val="0"/>
          <w:color w:val="10192A"/>
          <w:sz w:val="19"/>
          <w:u w:val="none"/>
        </w:rPr>
        <w:t>Methodology</w:t>
      </w:r>
    </w:p>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In this edition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Five findings</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554AE"/>
                <w:spacing w:val="32"/>
                <w:sz w:val="15"/>
                <w:u w:val="none"/>
              </w:rPr>
              <w:t>In this edition</w:t>
            </w:r>
          </w:p>
          <w:p>
            <w:pPr>
              <w:keepNext w:val="0"/>
              <w:keepLines/>
              <w:pageBreakBefore w:val="0"/>
              <w:widowControl w:val="1"/>
              <w:spacing w:before="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{{edition.findings[0]}}</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{{edition.findings[1]}}</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{{edition.findings[2]}}</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{{edition.findings[3]}}</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{{edition.findings[4]}}</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National / state overview</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macro position</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Overview</w:t>
            </w:r>
          </w:p>
          <w:p>
            <w:pPr>
              <w:keepNext/>
              <w:keepLines/>
              <w:pageBreakBefore w:val="0"/>
              <w:widowControl w:val="1"/>
              <w:spacing w:before="0" w:after="120" w:line="293" w:lineRule="auto"/>
            </w:pPr>
            <w:r>
              <w:rPr>
                <w:rFonts w:ascii="Calibri" w:hAnsi="Calibri" w:cs="Calibri" w:eastAsia="Calibri"/>
                <w:b/>
                <w:i w:val="0"/>
                <w:color w:val="0C2340"/>
                <w:sz w:val="23"/>
                <w:u w:val="none"/>
              </w:rPr>
              <w:t>{{edition.headline}}</w:t>
            </w:r>
          </w:p>
          <w:p>
            <w:pPr>
              <w:keepNext w:val="0"/>
              <w:keepLines/>
              <w:pageBreakBefore w:val="0"/>
              <w:widowControl w:val="1"/>
              <w:spacing w:before="0" w:after="0" w:line="326" w:lineRule="auto"/>
            </w:pPr>
            <w:r>
              <w:rPr>
                <w:rFonts w:ascii="Calibri" w:hAnsi="Calibri" w:cs="Calibri" w:eastAsia="Calibri"/>
                <w:b w:val="0"/>
                <w:i w:val="0"/>
                <w:color w:val="10192A"/>
                <w:sz w:val="19"/>
                <w:u w:val="none"/>
              </w:rPr>
              <w:t>{{edition.overview}}</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Key indicators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Across all four regions</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MEDIAN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RENTAL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VACANCY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LISTINGS</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{{edition.growth}}</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12 months, weighted</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{{edition.rentGrowth}}</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Down from 4.8%</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{{edition.vacancy}}</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Weighted average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{{edition.listings}}</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Year on year</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1   Region profiles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One block per region</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olor w:val="0C2340"/>
          <w:sz w:val="21"/>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{{region.median}}</w:t>
                  </w: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{{region.commentary}}</w:t>
      </w:r>
    </w:p>
    <w:p>
      <w:pPr>
        <w:keepNext/>
        <w:keepLines/>
        <w:pageBreakBefore w:val="0"/>
        <w:widowControl w:val="1"/>
        <w:spacing w:before="220" w:after="80"/>
      </w:pPr>
      <w:r>
        <w:rPr>
          <w:rFonts w:ascii="Calibri" w:hAnsi="Calibri" w:cs="Calibri" w:eastAsia="Calibri"/>
          <w:b/>
          <w:i w:val="0"/>
          <w:color w:val="0C2340"/>
          <w:sz w:val="21"/>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{{region.median}}</w:t>
                  </w: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{{region.commentary}}</w:t>
      </w:r>
    </w:p>
    <w:p>
      <w:pPr>
        <w:keepNext/>
        <w:keepLines/>
        <w:pageBreakBefore w:val="0"/>
        <w:widowControl w:val="1"/>
        <w:spacing w:before="220" w:after="80"/>
      </w:pPr>
      <w:r>
        <w:rPr>
          <w:rFonts w:ascii="Calibri" w:hAnsi="Calibri" w:cs="Calibri" w:eastAsia="Calibri"/>
          <w:b/>
          <w:i w:val="0"/>
          <w:color w:val="0C2340"/>
          <w:sz w:val="21"/>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{{region.median}}</w:t>
                  </w: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{{region.commentary}}</w:t>
      </w:r>
    </w:p>
    <w:p>
      <w:pPr>
        <w:keepNext/>
        <w:keepLines/>
        <w:pageBreakBefore w:val="0"/>
        <w:widowControl w:val="1"/>
        <w:spacing w:before="220" w:after="80"/>
      </w:pPr>
      <w:r>
        <w:rPr>
          <w:rFonts w:ascii="Calibri" w:hAnsi="Calibri" w:cs="Calibri" w:eastAsia="Calibri"/>
          <w:b/>
          <w:i w:val="0"/>
          <w:color w:val="0C2340"/>
          <w:sz w:val="21"/>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{{region.median}}</w:t>
                  </w: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{{region.commentary}}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2   Comparative table</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All regions, common indicators</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All regions at a glance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ll regions at a glance"/>
        <w:tblDescription w:val="Columns: Region, Median, 12-mth, Rent, Yield, Vacancy, DOM, Listings"/>
      </w:tblPr>
      <w:tblGrid>
        <w:gridCol w:w="2149"/>
        <w:gridCol w:w="1588"/>
        <w:gridCol w:w="1121"/>
        <w:gridCol w:w="1121"/>
        <w:gridCol w:w="1028"/>
        <w:gridCol w:w="1121"/>
        <w:gridCol w:w="841"/>
        <w:gridCol w:w="1121"/>
      </w:tblGrid>
      <w:tr>
        <w:trPr>
          <w:cantSplit/>
          <w:trHeight w:val="420" w:hRule="atLeast"/>
          <w:tblHeader/>
        </w:trPr>
        <w:tc>
          <w:tcPr>
            <w:tcW w:type="dxa" w:w="2149"/>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Region</w:t>
            </w:r>
          </w:p>
        </w:tc>
        <w:tc>
          <w:tcPr>
            <w:tcW w:type="dxa" w:w="158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Median</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12-mth</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Rent</w:t>
            </w:r>
          </w:p>
        </w:tc>
        <w:tc>
          <w:tcPr>
            <w:tcW w:type="dxa" w:w="102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Yield</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Vacancy</w:t>
            </w:r>
          </w:p>
        </w:tc>
        <w:tc>
          <w:tcPr>
            <w:tcW w:type="dxa" w:w="84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DOM</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Listings</w:t>
            </w:r>
          </w:p>
        </w:tc>
      </w:tr>
      <w:tr>
        <w:trPr>
          <w:cantSplit/>
          <w:trHeight w:val="397" w:hRule="atLeast"/>
        </w:trPr>
        <w:tc>
          <w:tcPr>
            <w:tcW w:type="dxa" w:w="21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58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{{median}}</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{{growth}}</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{{rent}}</w:t>
            </w:r>
          </w:p>
        </w:tc>
        <w:tc>
          <w:tcPr>
            <w:tcW w:type="dxa" w:w="102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{{yield}}</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{{vacancy}}</w:t>
            </w:r>
          </w:p>
        </w:tc>
        <w:tc>
          <w:tcPr>
            <w:tcW w:type="dxa" w:w="84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{{dom}}</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{{listings}}</w:t>
            </w:r>
          </w:p>
        </w:tc>
      </w:tr>
      <w:tr>
        <w:trPr>
          <w:cantSplit/>
          <w:trHeight w:val="397" w:hRule="atLeast"/>
        </w:trPr>
        <w:tc>
          <w:tcPr>
            <w:tcW w:type="dxa" w:w="21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58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{{median}}</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{{growth}}</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{{rent}}</w:t>
            </w:r>
          </w:p>
        </w:tc>
        <w:tc>
          <w:tcPr>
            <w:tcW w:type="dxa" w:w="102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{{yield}}</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{{vacancy}}</w:t>
            </w:r>
          </w:p>
        </w:tc>
        <w:tc>
          <w:tcPr>
            <w:tcW w:type="dxa" w:w="84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{{dom}}</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{{listings}}</w:t>
            </w:r>
          </w:p>
        </w:tc>
      </w:tr>
      <w:tr>
        <w:trPr>
          <w:cantSplit/>
          <w:trHeight w:val="397" w:hRule="atLeast"/>
        </w:trPr>
        <w:tc>
          <w:tcPr>
            <w:tcW w:type="dxa" w:w="21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58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{{median}}</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{{growth}}</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{{rent}}</w:t>
            </w:r>
          </w:p>
        </w:tc>
        <w:tc>
          <w:tcPr>
            <w:tcW w:type="dxa" w:w="102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{{yield}}</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{{vacancy}}</w:t>
            </w:r>
          </w:p>
        </w:tc>
        <w:tc>
          <w:tcPr>
            <w:tcW w:type="dxa" w:w="84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{{dom}}</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{{listings}}</w:t>
            </w:r>
          </w:p>
        </w:tc>
      </w:tr>
      <w:tr>
        <w:trPr>
          <w:cantSplit/>
          <w:trHeight w:val="397" w:hRule="atLeast"/>
        </w:trPr>
        <w:tc>
          <w:tcPr>
            <w:tcW w:type="dxa" w:w="21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58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color w:val="8493A8"/>
                <w:sz w:val="17"/>
                <w:u w:val="none"/>
              </w:rPr>
              <w:t>{{median}}</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color w:val="8493A8"/>
                <w:sz w:val="17"/>
                <w:u w:val="none"/>
              </w:rPr>
              <w:t>{{growth}}</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color w:val="8493A8"/>
                <w:sz w:val="17"/>
                <w:u w:val="none"/>
              </w:rPr>
              <w:t>{{rent}}</w:t>
            </w:r>
          </w:p>
        </w:tc>
        <w:tc>
          <w:tcPr>
            <w:tcW w:type="dxa" w:w="102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color w:val="8493A8"/>
                <w:sz w:val="17"/>
                <w:u w:val="none"/>
              </w:rPr>
              <w:t>{{yield}}</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color w:val="8493A8"/>
                <w:sz w:val="17"/>
                <w:u w:val="none"/>
              </w:rPr>
              <w:t>{{vacancy}}</w:t>
            </w:r>
          </w:p>
        </w:tc>
        <w:tc>
          <w:tcPr>
            <w:tcW w:type="dxa" w:w="84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color w:val="8493A8"/>
                <w:sz w:val="17"/>
                <w:u w:val="none"/>
              </w:rPr>
              <w:t>{{dom}}</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color w:val="8493A8"/>
                <w:sz w:val="17"/>
                <w:u w:val="none"/>
              </w:rPr>
              <w:t>{{listings}}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DOM is median days on market. Listings is the change in new listing volume against the corresponding quarter last year.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3   Outlook</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Two quarters ahead</w:t>
            </w:r>
          </w:p>
        </w:tc>
      </w:tr>
    </w:tbl>
    <w:p>
      <w:pPr>
        <w:keepNext w:val="1"/>
        <w:keepLines/>
        <w:pageBreakBefore w:val="0"/>
        <w:widowControl w:val="1"/>
        <w:spacing w:before="0" w:after="0" w:line="180"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9"/>
          <w:u w:val="none"/>
        </w:rPr>
        <w:t>{{edition.outlook}}</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4C5B73"/>
              <w:bottom w:val="single" w:sz="4" w:space="0" w:color="DCE3ED"/>
              <w:right w:val="single" w:sz="4" w:space="0" w:color="DCE3ED"/>
            </w:tcBorders>
            <w:shd w:val="clear" w:color="auto" w:fill="EDF1F7"/>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4C5B73"/>
                <w:spacing w:val="32"/>
                <w:sz w:val="15"/>
                <w:u w:val="none"/>
              </w:rPr>
              <w:t>What would change this view</w:t>
            </w:r>
          </w:p>
          <w:p>
            <w:pPr>
              <w:keepNext w:val="0"/>
              <w:keepLines/>
              <w:pageBreakBefore w:val="0"/>
              <w:widowControl w:val="1"/>
              <w:spacing w:before="0" w:after="0" w:line="326" w:lineRule="auto"/>
            </w:pPr>
            <w:r>
              <w:rPr>
                <w:rFonts w:ascii="Calibri" w:hAnsi="Calibri" w:cs="Calibri" w:eastAsia="Calibri"/>
                <w:b w:val="0"/>
                <w:i w:val="0"/>
                <w:color w:val="10192A"/>
                <w:sz w:val="17"/>
                <w:u w:val="none"/>
              </w:rPr>
              <w:t>A material change in credit policy, or a movement in the cash rate of more than 50 basis points in either direction, would invalidate the outlook above. We would publish an interim note rather than wait for the next quarterly edition.</w:t>
            </w:r>
          </w:p>
        </w:tc>
      </w:tr>
    </w:tbl>
    <w:p>
      <w:pPr>
        <w:keepNext/>
        <w:keepLines/>
        <w:pageBreakBefore w:val="1"/>
        <w:widowControl w:val="1"/>
        <w:spacing w:before="0" w:after="80"/>
      </w:pPr>
      <w:r>
        <w:rPr>
          <w:rFonts w:ascii="Calibri" w:hAnsi="Calibri" w:cs="Calibri" w:eastAsia="Calibri"/>
          <w:b/>
          <w:i w:val="0"/>
          <w:caps w:val="1"/>
          <w:color w:val="1D6FE0"/>
          <w:spacing w:val="56"/>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Methodology</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4C5B73"/>
          <w:sz w:val="19"/>
          <w:u w:val="none"/>
        </w:rPr>
        <w:t>Definitions, sources and as-at dates for every indicator.</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Indicator, Definition, Source, As at"/>
      </w:tblPr>
      <w:tblGrid>
        <w:gridCol w:w="2154"/>
        <w:gridCol w:w="3855"/>
        <w:gridCol w:w="2494"/>
        <w:gridCol w:w="1587"/>
      </w:tblGrid>
      <w:tr>
        <w:trPr>
          <w:cantSplit/>
          <w:trHeight w:val="420" w:hRule="atLeast"/>
          <w:tblHeader/>
        </w:trPr>
        <w:tc>
          <w:tcPr>
            <w:tcW w:type="dxa" w:w="215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Indicator</w:t>
            </w:r>
          </w:p>
        </w:tc>
        <w:tc>
          <w:tcPr>
            <w:tcW w:type="dxa" w:w="3855"/>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Definition</w:t>
            </w:r>
          </w:p>
        </w:tc>
        <w:tc>
          <w:tcPr>
            <w:tcW w:type="dxa" w:w="249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15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 at</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r>
        <w:trPr>
          <w:cantSplit/>
          <w:trHeight w:val="397" w:hRule="atLeast"/>
        </w:trPr>
        <w:tc>
          <w:tcPr>
            <w:tcW w:type="dxa" w:w="215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r>
        <w:trPr>
          <w:cantSplit/>
          <w:trHeight w:val="397" w:hRule="atLeast"/>
        </w:trPr>
        <w:tc>
          <w:tcPr>
            <w:tcW w:type="dxa" w:w="215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1"/>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{{legal.terms}}</w:t>
      </w:r>
    </w:p>
    <w:p>
      <w:pPr>
        <w:keepNext w:val="0"/>
        <w:keepLines/>
        <w:pageBreakBefore w:val="0"/>
        <w:widowControl w:val="1"/>
        <w:spacing w:before="0" w:after="0" w:line="100" w:lineRule="exact"/>
      </w:pPr>
      <w:r>
        <w:rPr>
          <w:sz w:val="2"/>
        </w:rPr>
      </w:r>
    </w:p>
    <w:p>
      <w:pPr>
        <w:keepNext w:val="0"/>
        <w:keepLines/>
        <w:pageBreakBefore w:val="1"/>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C2340"/>
              <w:left w:val="single" w:sz="4" w:space="0" w:color="0C2340"/>
              <w:bottom w:val="single" w:sz="4" w:space="0" w:color="0C2340"/>
              <w:right w:val="single" w:sz="4" w:space="0" w:color="0C2340"/>
            </w:tcBorders>
            <w:shd w:val="clear" w:color="auto" w:fill="0C2340"/>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Calibri" w:hAnsi="Calibri" w:cs="Calibri" w:eastAsia="Calibri"/>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D6FE0"/>
                <w:spacing w:val="4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WEB   </w:t>
            </w:r>
            <w:r>
              <w:rPr>
                <w:rFonts w:ascii="Calibri" w:hAnsi="Calibri" w:cs="Calibri" w:eastAsia="Calibri"/>
                <w:b w:val="0"/>
                <w:i w:val="0"/>
                <w:color w:val="AFC0D6"/>
                <w:sz w:val="17"/>
                <w:u w:val="none"/>
              </w:rPr>
              <w:t>{{org.website}}</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EMAIL   </w:t>
            </w:r>
            <w:r>
              <w:rPr>
                <w:rFonts w:ascii="Calibri" w:hAnsi="Calibri" w:cs="Calibri" w:eastAsia="Calibri"/>
                <w:b w:val="0"/>
                <w:i w:val="0"/>
                <w:color w:val="AFC0D6"/>
                <w:sz w:val="17"/>
                <w:u w:val="none"/>
              </w:rPr>
              <w:t>{{org.email}}</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PHONE   </w:t>
            </w:r>
            <w:r>
              <w:rPr>
                <w:rFonts w:ascii="Calibri" w:hAnsi="Calibri" w:cs="Calibri" w:eastAsia="Calibri"/>
                <w:b w:val="0"/>
                <w:i w:val="0"/>
                <w:color w:val="AFC0D6"/>
                <w:sz w:val="17"/>
                <w:u w:val="none"/>
              </w:rPr>
              <w:t>{{org.phone}}</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ADDRESS   </w:t>
            </w:r>
            <w:r>
              <w:rPr>
                <w:rFonts w:ascii="Calibri" w:hAnsi="Calibri" w:cs="Calibri" w:eastAsia="Calibri"/>
                <w:b w:val="0"/>
                <w:i w:val="0"/>
                <w:color w:val="AFC0D6"/>
                <w:sz w:val="17"/>
                <w:u w:val="none"/>
              </w:rPr>
              <w:t>{{org.address}}</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SOCIAL   </w:t>
            </w:r>
            <w:r>
              <w:rPr>
                <w:rFonts w:ascii="Calibri" w:hAnsi="Calibri" w:cs="Calibri" w:eastAsia="Calibri"/>
                <w:b w:val="0"/>
                <w:i w:val="0"/>
                <w:color w:val="AFC0D6"/>
                <w:sz w:val="17"/>
                <w:u w:val="none"/>
              </w:rPr>
              <w:t>{{org.socials}}</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Aurixa Systems Pty Ltd   ·   ABN {{org.abn}}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Market &amp; Area Research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&amp; Area Research Report</dc:title>
  <dc:subject>Wider market commentary across several regions or asset classes, built for periodic publication rather than a single client decision.</dc:subject>
  <dc:creator>Aurixa Systems</dc:creator>
  <cp:keywords>Market research, Market update, Regional analysis,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