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Quarterly edition — Q2 FY2026</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Market &amp; Area Research</w:t>
            </w:r>
          </w:p>
          <w:p>
            <w:pPr>
              <w:keepNext w:val="0"/>
              <w:keepLines/>
              <w:pageBreakBefore w:val="0"/>
              <w:widowControl w:val="1"/>
              <w:spacing w:before="0" w:after="0" w:line="322" w:lineRule="auto"/>
            </w:pPr>
            <w:r>
              <w:rPr>
                <w:rFonts w:ascii="Calibri" w:hAnsi="Calibri" w:cs="Calibri" w:eastAsia="Calibri"/>
                <w:b w:val="0"/>
                <w:i w:val="0"/>
                <w:color w:val="AFC0D6"/>
                <w:sz w:val="22"/>
                <w:u w:val="none"/>
              </w:rPr>
              <w:t>Conditions across four regions, the indicators that moved, and what we expect over the next two quarters.</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REGIONS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QUARTERLY</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30/06/26</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Contents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Contents</w:t>
            </w:r>
          </w:p>
        </w:tc>
      </w:tr>
    </w:tbl>
    <w:p>
      <w:pPr>
        <w:keepNext w:val="1"/>
        <w:keepLines/>
        <w:pageBreakBefore w:val="0"/>
        <w:widowControl w:val="1"/>
        <w:spacing w:before="0" w:after="0" w:line="18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In this edition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National / state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Key indicators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1    </w:t>
      </w:r>
      <w:r>
        <w:rPr>
          <w:rFonts w:ascii="Calibri" w:hAnsi="Calibri" w:cs="Calibri" w:eastAsia="Calibri"/>
          <w:b w:val="0"/>
          <w:i w:val="0"/>
          <w:color w:val="10192A"/>
          <w:sz w:val="19"/>
          <w:u w:val="none"/>
        </w:rPr>
        <w:t>Region profiles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2    </w:t>
      </w:r>
      <w:r>
        <w:rPr>
          <w:rFonts w:ascii="Calibri" w:hAnsi="Calibri" w:cs="Calibri" w:eastAsia="Calibri"/>
          <w:b w:val="0"/>
          <w:i w:val="0"/>
          <w:color w:val="10192A"/>
          <w:sz w:val="19"/>
          <w:u w:val="none"/>
        </w:rPr>
        <w:t>Comparative table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3    </w:t>
      </w:r>
      <w:r>
        <w:rPr>
          <w:rFonts w:ascii="Calibri" w:hAnsi="Calibri" w:cs="Calibri" w:eastAsia="Calibri"/>
          <w:b w:val="0"/>
          <w:i w:val="0"/>
          <w:color w:val="10192A"/>
          <w:sz w:val="19"/>
          <w:u w:val="none"/>
        </w:rPr>
        <w:t>Outlook</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A    </w:t>
      </w:r>
      <w:r>
        <w:rPr>
          <w:rFonts w:ascii="Calibri" w:hAnsi="Calibri" w:cs="Calibri" w:eastAsia="Calibri"/>
          <w:b w:val="0"/>
          <w:i w:val="0"/>
          <w:color w:val="10192A"/>
          <w:sz w:val="19"/>
          <w:u w:val="none"/>
        </w:rPr>
        <w:t>Methodology</w:t>
      </w:r>
    </w:p>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In this edition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Five findings</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In this edition</w:t>
            </w:r>
          </w:p>
          <w:p>
            <w:pPr>
              <w:keepNext w:val="0"/>
              <w:keepLines/>
              <w:pageBreakBefore w:val="0"/>
              <w:widowControl w:val="1"/>
              <w:spacing w:before="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Listing volumes fell in all four regions for a third consecutive quarter.</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Rental growth slowed to 2.1% from 4.8% a year earlier.</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The inner-ring / outer-ring price gap narrowed for the first time since 2021.</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Vacancy remains below 1.5% in three of the four regions.</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Days on market fell in every region despite flat auction clearance.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National / state overview</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macro position</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Overview</w:t>
            </w:r>
          </w:p>
          <w:p>
            <w:pPr>
              <w:keepNext/>
              <w:keepLines/>
              <w:pageBreakBefore w:val="0"/>
              <w:widowControl w:val="1"/>
              <w:spacing w:before="0" w:after="120" w:line="293" w:lineRule="auto"/>
            </w:pPr>
            <w:r>
              <w:rPr>
                <w:rFonts w:ascii="Calibri" w:hAnsi="Calibri" w:cs="Calibri" w:eastAsia="Calibri"/>
                <w:b/>
                <w:i w:val="0"/>
                <w:color w:val="0C2340"/>
                <w:sz w:val="23"/>
                <w:u w:val="none"/>
              </w:rPr>
              <w:t>Supply, not demand, is now the binding constraint in every region we cover.</w:t>
            </w:r>
          </w:p>
          <w:p>
            <w:pPr>
              <w:keepNext w:val="0"/>
              <w:keepLines/>
              <w:pageBreakBefore w:val="0"/>
              <w:widowControl w:val="1"/>
              <w:spacing w:before="0" w:after="0" w:line="326" w:lineRule="auto"/>
            </w:pPr>
            <w:r>
              <w:rPr>
                <w:rFonts w:ascii="Calibri" w:hAnsi="Calibri" w:cs="Calibri" w:eastAsia="Calibri"/>
                <w:b w:val="0"/>
                <w:i w:val="0"/>
                <w:color w:val="10192A"/>
                <w:sz w:val="19"/>
                <w:u w:val="none"/>
              </w:rPr>
              <w:t>Listing volumes across the four regions fell 14% year on year, the third consecutive quarterly decline. Days on market fell in every region despite auction clearance rates being broadly flat, which is the signature of a market where buyers are competing over less stock rather than bidding more aggressively for the same stock.</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Rental growth decelerated sharply — 2.1% for the quarter against 4.8% in the corresponding quarter last year — while vacancy stayed below 1.5% in three of four regions. That combination suggests rents have reached an affordability ceiling rather than that supply has improved.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Key indicators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Across all four regions</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MEDIAN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RENTAL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VACANCY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LISTINGS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12 months, weighted</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Down from 4.8%</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Weighted average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Year on year</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1   Region profiles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One block per region</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olor w:val="0C2340"/>
          <w:sz w:val="21"/>
          <w:u w:val="none"/>
        </w:rPr>
        <w:t>Lower North Shore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Lower North Shore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$2,180,000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+4.1%</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$1,090/wk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2.6%</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1.1%</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24</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Tightest market of the four. Listing volumes fell 19% and days on market fell to 24. Yield compression continued; this region is now a growth-only proposition for all but the highest-income buyers.</w:t>
      </w:r>
    </w:p>
    <w:p>
      <w:pPr>
        <w:keepNext/>
        <w:keepLines/>
        <w:pageBreakBefore w:val="0"/>
        <w:widowControl w:val="1"/>
        <w:spacing w:before="220" w:after="80"/>
      </w:pPr>
      <w:r>
        <w:rPr>
          <w:rFonts w:ascii="Calibri" w:hAnsi="Calibri" w:cs="Calibri" w:eastAsia="Calibri"/>
          <w:b/>
          <w:i w:val="0"/>
          <w:color w:val="0C2340"/>
          <w:sz w:val="21"/>
          <w:u w:val="none"/>
        </w:rPr>
        <w:t>Inner West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Inner West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$1,742,000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+3.4%</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$980/wk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2.9%</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1.3%</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27</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The narrowing of the inner-ring / outer-ring gap is most visible here. Growth moderated while outer regions accelerated, which we read as an affordability constraint rather than a loss of appeal.</w:t>
      </w:r>
    </w:p>
    <w:p>
      <w:pPr>
        <w:keepNext/>
        <w:keepLines/>
        <w:pageBreakBefore w:val="0"/>
        <w:widowControl w:val="1"/>
        <w:spacing w:before="220" w:after="80"/>
      </w:pPr>
      <w:r>
        <w:rPr>
          <w:rFonts w:ascii="Calibri" w:hAnsi="Calibri" w:cs="Calibri" w:eastAsia="Calibri"/>
          <w:b/>
          <w:i w:val="0"/>
          <w:color w:val="0C2340"/>
          <w:sz w:val="21"/>
          <w:u w:val="none"/>
        </w:rPr>
        <w:t>Northern Beaches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Northern Beaches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$2,410,000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+2.2%</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$1,150/wk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2.5%</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1.6%</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34</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The weakest of the four on both growth and days on market, and the only region where vacancy rose. Transport constraints continue to cap demand from buyers who commute daily.</w:t>
      </w:r>
    </w:p>
    <w:p>
      <w:pPr>
        <w:keepNext/>
        <w:keepLines/>
        <w:pageBreakBefore w:val="0"/>
        <w:widowControl w:val="1"/>
        <w:spacing w:before="220" w:after="80"/>
      </w:pPr>
      <w:r>
        <w:rPr>
          <w:rFonts w:ascii="Calibri" w:hAnsi="Calibri" w:cs="Calibri" w:eastAsia="Calibri"/>
          <w:b/>
          <w:i w:val="0"/>
          <w:color w:val="0C2340"/>
          <w:sz w:val="21"/>
          <w:u w:val="none"/>
        </w:rPr>
        <w:t>Western Corridor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Western Corridor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$1,048,000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+5.8%</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$720/wk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3.6%</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1.4%</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Strongest growth and the only region with a yield above 3%. Infrastructure delivery is the driver and also the risk: two of the three committed projects have slipped by more than a year.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2   Comparative table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All regions, common indicators</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All regions at a glance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ll regions at a glance"/>
        <w:tblDescription w:val="Columns: Region, Median, 12-mth, Rent, Yield, Vacancy, DOM, Listings"/>
      </w:tblPr>
      <w:tblGrid>
        <w:gridCol w:w="2149"/>
        <w:gridCol w:w="1588"/>
        <w:gridCol w:w="1121"/>
        <w:gridCol w:w="1121"/>
        <w:gridCol w:w="1028"/>
        <w:gridCol w:w="1121"/>
        <w:gridCol w:w="841"/>
        <w:gridCol w:w="1121"/>
      </w:tblGrid>
      <w:tr>
        <w:trPr>
          <w:cantSplit/>
          <w:trHeight w:val="420" w:hRule="atLeast"/>
          <w:tblHeader/>
        </w:trPr>
        <w:tc>
          <w:tcPr>
            <w:tcW w:type="dxa" w:w="214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Region</w:t>
            </w:r>
          </w:p>
        </w:tc>
        <w:tc>
          <w:tcPr>
            <w:tcW w:type="dxa" w:w="158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12-mth</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w:t>
            </w:r>
          </w:p>
        </w:tc>
        <w:tc>
          <w:tcPr>
            <w:tcW w:type="dxa" w:w="102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Yield</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Vacancy</w:t>
            </w:r>
          </w:p>
        </w:tc>
        <w:tc>
          <w:tcPr>
            <w:tcW w:type="dxa" w:w="84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DOM</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Listings</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Lower North Shore</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$2,180,000</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$1,090</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Inner West</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$1,742,000</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27</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Northern Beaches</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$2,410,000</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$1,150</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2.5%</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Western Corridor</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$1,048,000</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+5.8%</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$720</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3.6%</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1.4%</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31</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−16%</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DOM is median days on market. Listings is the change in new listing volume against the corresponding quarter last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3   Outlook</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Two quarters ahead</w:t>
            </w:r>
          </w:p>
        </w:tc>
      </w:tr>
    </w:tbl>
    <w:p>
      <w:pPr>
        <w:keepNext w:val="1"/>
        <w:keepLines/>
        <w:pageBreakBefore w:val="0"/>
        <w:widowControl w:val="1"/>
        <w:spacing w:before="0" w:after="0" w:line="18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9"/>
          <w:u w:val="none"/>
        </w:rPr>
        <w:t>We expect listing volumes to stay below the five-year average through the next two quarters. The usual spring lift will occur but from a lower base, and we do not expect it to relieve the supply constraint in the three inner regions.</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Rental growth should continue to decelerate. Vacancy below 1.5% would normally signal further rent rises, but the deceleration from 4.8% to 2.1% over four quarters, against unchanged vacancy, points to an affordability ceiling. We expect rents to track wages rather than vacancy from here.</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The Western Corridor is the region most likely to surprise, in either direction. Its growth advantage rests on infrastructure delivery, and two of three committed projects have already slipped more than a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4C5B73"/>
              <w:bottom w:val="single" w:sz="4" w:space="0" w:color="DCE3ED"/>
              <w:right w:val="single" w:sz="4" w:space="0" w:color="DCE3ED"/>
            </w:tcBorders>
            <w:shd w:val="clear" w:color="auto" w:fill="EDF1F7"/>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4C5B73"/>
                <w:spacing w:val="32"/>
                <w:sz w:val="15"/>
                <w:u w:val="none"/>
              </w:rPr>
              <w:t>What would change this view</w:t>
            </w:r>
          </w:p>
          <w:p>
            <w:pPr>
              <w:keepNext w:val="0"/>
              <w:keepLines/>
              <w:pageBreakBefore w:val="0"/>
              <w:widowControl w:val="1"/>
              <w:spacing w:before="0" w:after="0" w:line="326" w:lineRule="auto"/>
            </w:pPr>
            <w:r>
              <w:rPr>
                <w:rFonts w:ascii="Calibri" w:hAnsi="Calibri" w:cs="Calibri" w:eastAsia="Calibri"/>
                <w:b w:val="0"/>
                <w:i w:val="0"/>
                <w:color w:val="10192A"/>
                <w:sz w:val="17"/>
                <w:u w:val="none"/>
              </w:rPr>
              <w:t>A material change in credit policy, or a movement in the cash rate of more than 50 basis points in either direction, would invalidate the outlook above. We would publish an interim note rather than wait for the next quarterly edition.</w:t>
            </w:r>
          </w:p>
        </w:tc>
      </w:tr>
    </w:tbl>
    <w:p>
      <w:pPr>
        <w:keepNext/>
        <w:keepLines/>
        <w:pageBreakBefore w:val="1"/>
        <w:widowControl w:val="1"/>
        <w:spacing w:before="0" w:after="80"/>
      </w:pPr>
      <w:r>
        <w:rPr>
          <w:rFonts w:ascii="Calibri" w:hAnsi="Calibri" w:cs="Calibri" w:eastAsia="Calibri"/>
          <w:b/>
          <w:i w:val="0"/>
          <w:caps w:val="1"/>
          <w:color w:val="1D6FE0"/>
          <w:spacing w:val="56"/>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Methodology</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4C5B73"/>
          <w:sz w:val="19"/>
          <w:u w:val="none"/>
        </w:rPr>
        <w:t>Definitions, sources and as-at dates for every indicator.</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Indicator, Definition, Source, As at"/>
      </w:tblPr>
      <w:tblGrid>
        <w:gridCol w:w="2154"/>
        <w:gridCol w:w="3855"/>
        <w:gridCol w:w="2494"/>
        <w:gridCol w:w="1587"/>
      </w:tblGrid>
      <w:tr>
        <w:trPr>
          <w:cantSplit/>
          <w:trHeight w:val="420" w:hRule="atLeast"/>
          <w:tblHeader/>
        </w:trPr>
        <w:tc>
          <w:tcPr>
            <w:tcW w:type="dxa" w:w="215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Indicator</w:t>
            </w:r>
          </w:p>
        </w:tc>
        <w:tc>
          <w:tcPr>
            <w:tcW w:type="dxa" w:w="3855"/>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Definition</w:t>
            </w:r>
          </w:p>
        </w:tc>
        <w:tc>
          <w:tcPr>
            <w:tcW w:type="dxa" w:w="249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price</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12-month rolling median, houses only</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valuer-general</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rent</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bonds lodged, all dwelling types</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bond authority</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yield</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Annualised median rent over median price</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Derived</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Vacancy</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Vacant rental stock over total rental stock</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Days on market</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days from first listing to exchange</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val="0"/>
        <w:keepLines/>
        <w:pageBreakBefore w:val="1"/>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C2340"/>
              <w:left w:val="single" w:sz="4" w:space="0" w:color="0C2340"/>
              <w:bottom w:val="single" w:sz="4" w:space="0" w:color="0C2340"/>
              <w:right w:val="single" w:sz="4" w:space="0" w:color="0C2340"/>
            </w:tcBorders>
            <w:shd w:val="clear" w:color="auto" w:fill="0C2340"/>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Calibri" w:hAnsi="Calibri" w:cs="Calibri" w:eastAsia="Calibri"/>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D6FE0"/>
                <w:spacing w:val="4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Market &amp; Area Research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&amp; Area Research Report</dc:title>
  <dc:subject>Wider market commentary across several regions or asset classes, built for periodic publication rather than a single client decision.</dc:subject>
  <dc:creator>Aurixa Systems</dc:creator>
  <cp:keywords>Market research, Market update, Regional analysis,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