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p>
            <w:pPr>
              <w:keepNext w:val="0"/>
              <w:keepLines/>
              <w:pageBreakBefore w:val="0"/>
              <w:widowControl w:val="1"/>
              <w:spacing w:before="100" w:after="0"/>
              <w:jc w:val="center"/>
            </w:pPr>
            <w:r>
              <w:rPr>
                <w:rFonts w:ascii="Calibri" w:hAnsi="Calibri" w:cs="Calibri" w:eastAsia="Calibri"/>
                <w:b w:val="0"/>
                <w:i/>
                <w:color w:val="8493A8"/>
                <w:sz w:val="14"/>
                <w:u w:val="none"/>
              </w:rPr>
              <w:t>{{proposal.coverCaption}}</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Partnership 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{{proposal.title}}</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{{proposal.subtitle}}</w:t>
      </w:r>
    </w:p>
    <w:p>
      <w:pPr>
        <w:keepNext w:val="0"/>
        <w:keepLines/>
        <w:pageBreakBefore w:val="0"/>
        <w:widowControl w:val="1"/>
        <w:spacing w:before="0" w:after="0" w:line="5499" w:lineRule="exact"/>
      </w:pPr>
      <w:r>
        <w:rPr>
          <w:sz w:val="2"/>
        </w:rPr>
      </w:r>
    </w:p>
    <w:p>
      <w:pPr>
        <w:keepNext w:val="0"/>
        <w:keepLines/>
        <w:pageBreakBefore w:val="0"/>
        <w:widowControl w:val="1"/>
        <w:pBdr>
          <w:bottom w:val="single" w:sz="8" w:space="1" w:color="12B0CE"/>
        </w:pBdr>
        <w:spacing w:before="0" w:after="100" w:line="20" w:lineRule="exact"/>
      </w:pPr>
      <w:r>
        <w:rPr>
          <w:sz w:val="2"/>
        </w:rPr>
      </w:r>
    </w:p>
    <w:p>
      <w:pPr>
        <w:keepNext w:val="0"/>
        <w:keepLines/>
        <w:pageBreakBefore w:val="0"/>
        <w:widowControl w:val="1"/>
        <w:spacing w:before="0" w:after="0"/>
      </w:pPr>
      <w:r>
        <w:rPr>
          <w:rFonts w:ascii="Calibri" w:hAnsi="Calibri" w:cs="Calibri" w:eastAsia="Calibri"/>
          <w:b/>
          <w:i w:val="0"/>
          <w:caps w:val="1"/>
          <w:color w:val="071527"/>
          <w:spacing w:val="22"/>
          <w:sz w:val="14"/>
          <w:u w:val="none"/>
        </w:rPr>
        <w:t>{{document.reference}}</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Version {{document.version}}</w:t>
      </w:r>
      <w:r>
        <w:rPr>
          <w:rFonts w:ascii="Calibri" w:hAnsi="Calibri" w:cs="Calibri" w:eastAsia="Calibri"/>
          <w:b w:val="0"/>
          <w:i w:val="0"/>
          <w:color w:val="8493A8"/>
          <w:sz w:val="14"/>
          <w:u w:val="none"/>
        </w:rPr>
        <w:t xml:space="preserve">   ·   </w:t>
      </w:r>
      <w:r>
        <w:rPr>
          <w:rFonts w:ascii="Calibri" w:hAnsi="Calibri" w:cs="Calibri" w:eastAsia="Calibri"/>
          <w:b w:val="0"/>
          <w:i w:val="0"/>
          <w:color w:val="4C5B73"/>
          <w:sz w:val="14"/>
          <w:u w:val="none"/>
        </w:rPr>
        <w:t>{{document.issueDate}}</w:t>
      </w:r>
    </w:p>
    <w:p>
      <w:pPr>
        <w:keepNext w:val="0"/>
        <w:keepLines/>
        <w:pageBreakBefore w:val="1"/>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592"/>
        <w:gridCol w:w="907"/>
        <w:gridCol w:w="4592"/>
      </w:tblGrid>
      <w:tr>
        <w:trPr>
          <w:cantSplit/>
        </w:trPr>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c>
          <w:tcPr>
            <w:tcW w:type="dxa" w:w="907"/>
            <w:vAlign w:val="center"/>
          </w:tcPr>
          <w:p>
            <w:pPr>
              <w:keepNext w:val="0"/>
              <w:keepLines/>
              <w:pageBreakBefore w:val="0"/>
              <w:widowControl w:val="1"/>
              <w:spacing w:before="0" w:after="0"/>
              <w:jc w:val="center"/>
            </w:pPr>
            <w:r>
              <w:rPr>
                <w:rFonts w:ascii="Calibri" w:hAnsi="Calibri" w:cs="Calibri" w:eastAsia="Calibri"/>
                <w:b/>
                <w:i w:val="0"/>
                <w:color w:val="12B0CE"/>
                <w:sz w:val="23"/>
                <w:u w:val="none"/>
              </w:rPr>
              <w:t>+</w:t>
            </w:r>
          </w:p>
        </w:tc>
        <w:tc>
          <w:tcPr>
            <w:tcW w:type="dxa" w:w="4592"/>
            <w:tcBorders>
              <w:top w:val="dashed" w:sz="8" w:space="0" w:color="C2CDDC"/>
              <w:left w:val="dashed" w:sz="8" w:space="0" w:color="C2CDDC"/>
              <w:bottom w:val="dashed" w:sz="8" w:space="0" w:color="C2CDDC"/>
              <w:right w:val="dashed" w:sz="8" w:space="0" w:color="C2CDDC"/>
            </w:tcBorders>
            <w:tcMar>
              <w:top w:w="240" w:type="dxa"/>
              <w:left w:w="140" w:type="dxa"/>
              <w:bottom w:w="240" w:type="dxa"/>
              <w:right w:w="140" w:type="dxa"/>
            </w:tcMar>
            <w:vAlign w:val="cente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PARTNER LOGO  ]</w:t>
            </w:r>
          </w:p>
        </w:tc>
      </w:tr>
    </w:tbl>
    <w:p>
      <w:pPr>
        <w:keepNext w:val="0"/>
        <w:keepLines/>
        <w:pageBreakBefore w:val="0"/>
        <w:widowControl w:val="1"/>
        <w:spacing w:before="0" w:after="0" w:line="21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to</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Proposed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{{org.name}}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{{proposal.validity}}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{{proposal.status}}</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The opportunity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The opportunity</w:t>
            </w:r>
          </w:p>
          <w:p>
            <w:pPr>
              <w:keepNext/>
              <w:keepLines/>
              <w:pageBreakBefore w:val="0"/>
              <w:widowControl w:val="1"/>
              <w:spacing w:before="0" w:after="120" w:line="293" w:lineRule="auto"/>
            </w:pPr>
            <w:r>
              <w:rPr>
                <w:rFonts w:ascii="Georgia" w:hAnsi="Georgia" w:cs="Georgia" w:eastAsia="Georgia"/>
                <w:b/>
                <w:i w:val="0"/>
                <w:color w:val="071527"/>
                <w:sz w:val="23"/>
                <w:u w:val="none"/>
              </w:rPr>
              <w:t>{{proposal.headline}}</w:t>
            </w:r>
          </w:p>
          <w:p>
            <w:pPr>
              <w:keepNext w:val="0"/>
              <w:keepLines/>
              <w:pageBreakBefore w:val="0"/>
              <w:widowControl w:val="1"/>
              <w:spacing w:before="0" w:after="0" w:line="355" w:lineRule="auto"/>
            </w:pPr>
            <w:r>
              <w:rPr>
                <w:rFonts w:ascii="Calibri" w:hAnsi="Calibri" w:cs="Calibri" w:eastAsia="Calibri"/>
                <w:b w:val="0"/>
                <w:i w:val="0"/>
                <w:color w:val="10192A"/>
                <w:sz w:val="19"/>
                <w:u w:val="none"/>
              </w:rPr>
              <w:t>{{proposal.opportunity}}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this means</w:t>
            </w:r>
          </w:p>
          <w:p>
            <w:pPr>
              <w:keepNext w:val="0"/>
              <w:keepLines/>
              <w:pageBreakBefore w:val="0"/>
              <w:widowControl w:val="1"/>
              <w:spacing w:before="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{{proposal.takeaways[0]}}</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{{proposal.takeaways[1]}}</w:t>
            </w:r>
          </w:p>
          <w:p>
            <w:pPr>
              <w:keepNext w:val="0"/>
              <w:keepLines/>
              <w:pageBreakBefore w:val="0"/>
              <w:widowControl w:val="1"/>
              <w:spacing w:before="80" w:after="0" w:line="355" w:lineRule="auto"/>
              <w:ind w:left="200" w:hanging="200"/>
            </w:pPr>
            <w:r>
              <w:rPr>
                <w:rFonts w:ascii="Calibri" w:hAnsi="Calibri" w:cs="Calibri" w:eastAsia="Calibri"/>
                <w:b/>
                <w:i w:val="0"/>
                <w:color w:val="12B0CE"/>
                <w:sz w:val="19"/>
                <w:u w:val="none"/>
              </w:rPr>
              <w:t xml:space="preserve">›  </w:t>
            </w:r>
            <w:r>
              <w:rPr>
                <w:rFonts w:ascii="Calibri" w:hAnsi="Calibri" w:cs="Calibri" w:eastAsia="Calibri"/>
                <w:b w:val="0"/>
                <w:i w:val="0"/>
                <w:color w:val="10192A"/>
                <w:sz w:val="19"/>
                <w:u w:val="none"/>
              </w:rPr>
              <w:t>{{proposal.takeaways[2]}}</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PROPOSED STRUCTURE</w:t>
            </w:r>
          </w:p>
          <w:p>
            <w:pPr>
              <w:keepNext w:val="0"/>
              <w:keepLines/>
              <w:pageBreakBefore w:val="0"/>
              <w:widowControl w:val="1"/>
              <w:spacing w:before="0" w:after="120" w:line="298" w:lineRule="auto"/>
            </w:pPr>
            <w:r>
              <w:rPr>
                <w:rFonts w:ascii="Georgia" w:hAnsi="Georgia" w:cs="Georgia" w:eastAsia="Georgia"/>
                <w:b/>
                <w:i w:val="0"/>
                <w:color w:val="071527"/>
                <w:sz w:val="22"/>
                <w:u w:val="none"/>
              </w:rPr>
              <w:t>{{proposal.structure}}</w:t>
            </w:r>
          </w:p>
          <w:p>
            <w:pPr>
              <w:keepNext w:val="0"/>
              <w:keepLines/>
              <w:pageBreakBefore w:val="0"/>
              <w:widowControl w:val="1"/>
              <w:spacing w:before="0" w:after="0" w:line="355" w:lineRule="auto"/>
            </w:pPr>
            <w:r>
              <w:rPr>
                <w:rFonts w:ascii="Calibri" w:hAnsi="Calibri" w:cs="Calibri" w:eastAsia="Calibri"/>
                <w:b w:val="0"/>
                <w:i w:val="0"/>
                <w:color w:val="10192A"/>
                <w:sz w:val="17"/>
                <w:u w:val="none"/>
              </w:rPr>
              <w:t>{{proposal.structureRationale}}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p>
            <w:pPr>
              <w:keepNext w:val="0"/>
              <w:keepLines/>
              <w:pageBreakBefore w:val="0"/>
              <w:widowControl w:val="1"/>
              <w:tabs>
                <w:tab w:val="left" w:pos="320"/>
              </w:tabs>
              <w:spacing w:before="0" w:after="0" w:line="355" w:lineRule="auto"/>
              <w:ind w:left="320" w:hanging="320"/>
            </w:pPr>
            <w:r>
              <w:rPr>
                <w:rFonts w:ascii="Calibri" w:hAnsi="Calibri" w:cs="Calibri" w:eastAsia="Calibri"/>
                <w:b/>
                <w:i w:val="0"/>
                <w:color w:val="12B0CE"/>
                <w:sz w:val="19"/>
                <w:u w:val="none"/>
              </w:rPr>
              <w:t>1.</w:t>
            </w:r>
            <w:r>
              <w:rPr>
                <w:rFonts w:ascii="Calibri" w:hAnsi="Calibri" w:cs="Calibri" w:eastAsia="Calibri"/>
                <w:b w:val="0"/>
                <w:i w:val="0"/>
                <w:color w:val="10192A"/>
                <w:sz w:val="19"/>
                <w:u w:val="none"/>
              </w:rPr>
              <w:tab/>
              <w:t>{{proposal.structureActions[0]}}</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2.</w:t>
            </w:r>
            <w:r>
              <w:rPr>
                <w:rFonts w:ascii="Calibri" w:hAnsi="Calibri" w:cs="Calibri" w:eastAsia="Calibri"/>
                <w:b w:val="0"/>
                <w:i w:val="0"/>
                <w:color w:val="10192A"/>
                <w:sz w:val="19"/>
                <w:u w:val="none"/>
              </w:rPr>
              <w:tab/>
              <w:t>{{proposal.structureActions[1]}}</w:t>
            </w:r>
          </w:p>
          <w:p>
            <w:pPr>
              <w:keepNext w:val="0"/>
              <w:keepLines/>
              <w:pageBreakBefore w:val="0"/>
              <w:widowControl w:val="1"/>
              <w:tabs>
                <w:tab w:val="left" w:pos="320"/>
              </w:tabs>
              <w:spacing w:before="80" w:after="0" w:line="355" w:lineRule="auto"/>
              <w:ind w:left="320" w:hanging="320"/>
            </w:pPr>
            <w:r>
              <w:rPr>
                <w:rFonts w:ascii="Calibri" w:hAnsi="Calibri" w:cs="Calibri" w:eastAsia="Calibri"/>
                <w:b/>
                <w:i w:val="0"/>
                <w:color w:val="12B0CE"/>
                <w:sz w:val="19"/>
                <w:u w:val="none"/>
              </w:rPr>
              <w:t>3.</w:t>
            </w:r>
            <w:r>
              <w:rPr>
                <w:rFonts w:ascii="Calibri" w:hAnsi="Calibri" w:cs="Calibri" w:eastAsia="Calibri"/>
                <w:b w:val="0"/>
                <w:i w:val="0"/>
                <w:color w:val="10192A"/>
                <w:sz w:val="19"/>
                <w:u w:val="none"/>
              </w:rPr>
              <w:tab/>
              <w:t>{{proposal.structureActions[2]}}</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What each party brings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Contribution and benefit, by party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tribution and benefit, by party"/>
        <w:tblDescription w:val="Compares: {{org.shortName}}, {{partner.shortName}}"/>
      </w:tblPr>
      <w:tblGrid>
        <w:gridCol w:w="2624"/>
        <w:gridCol w:w="3734"/>
        <w:gridCol w:w="3734"/>
      </w:tblGrid>
      <w:tr>
        <w:trPr>
          <w:cantSplit/>
          <w:trHeight w:val="510" w:hRule="atLeast"/>
          <w:tblHeader/>
        </w:trPr>
        <w:tc>
          <w:tcPr>
            <w:tcW w:type="dxa" w:w="262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pPr>
          </w:p>
        </w:tc>
        <w:tc>
          <w:tcPr>
            <w:tcW w:type="dxa" w:w="3734"/>
            <w:tcBorders>
              <w:top w:val="nil"/>
              <w:left w:val="nil"/>
              <w:bottom w:val="single" w:sz="8" w:space="0" w:color="12B0CE"/>
              <w:right w:val="single" w:sz="16" w:space="0" w:color="FFFFFF"/>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{{org.shortName}}</w:t>
            </w:r>
          </w:p>
        </w:tc>
        <w:tc>
          <w:tcPr>
            <w:tcW w:type="dxa" w:w="3734"/>
            <w:tcBorders>
              <w:top w:val="nil"/>
              <w:left w:val="nil"/>
              <w:bottom w:val="single" w:sz="8" w:space="0" w:color="12B0CE"/>
              <w:right w:val="nil"/>
            </w:tcBorders>
            <w:shd w:val="clear" w:color="auto" w:fill="071527"/>
            <w:tcMar>
              <w:top w:w="132" w:type="dxa"/>
              <w:left w:w="184" w:type="dxa"/>
              <w:bottom w:w="132" w:type="dxa"/>
              <w:right w:w="184"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{{partner.shortName}}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Core service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Buyer advocacy and acquisition</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Mortgage and lending advice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Client moment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buy; brief not yet defined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Ready to borrow; property not yet identified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client volume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214 acquisitions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{{partner.volume}}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we introduce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finance structured before they bid</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Clients who need a property found and negotiated</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Estimated introductions p.a.</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70 – 90</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{{partner.estimate}}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What the client gains</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Finance in place before the first offer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 brief, a shortlist and a negotiator</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Licensing</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Licensed real estate agent</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Australian Credit Licence / credit representative</w:t>
            </w:r>
          </w:p>
        </w:tc>
      </w:tr>
      <w:tr>
        <w:trPr>
          <w:cantSplit/>
        </w:trPr>
        <w:tc>
          <w:tcPr>
            <w:tcW w:type="dxa" w:w="2624"/>
            <w:tcBorders>
              <w:top w:val="nil"/>
              <w:left w:val="nil"/>
              <w:bottom w:val="single" w:sz="4" w:space="0" w:color="DCE3ED"/>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Relationship owner</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{{author.name}}</w:t>
            </w:r>
          </w:p>
        </w:tc>
        <w:tc>
          <w:tcPr>
            <w:tcW w:type="dxa" w:w="3734"/>
            <w:tcBorders>
              <w:top w:val="nil"/>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jc w:val="center"/>
            </w:pPr>
            <w:r>
              <w:rPr>
                <w:rFonts w:ascii="Calibri" w:hAnsi="Calibri" w:cs="Calibri" w:eastAsia="Calibri"/>
                <w:b w:val="0"/>
                <w:i/>
                <w:color w:val="8493A8"/>
                <w:sz w:val="17"/>
                <w:u w:val="none"/>
              </w:rPr>
              <w:t>{{partner.contact.name}}</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What this is not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Being explicit about the boundaries at proposal stage saves a difficult conversation later.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{{proposal.notThis[0]}}</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{{proposal.notThis[1]}}</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{{proposal.notThis[2]}}</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{{proposal.notThis[3]}}</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Client journey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How a shared client moves between the parties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6</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{{journey.step}}</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{{journey.detail}}</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4C5B73"/>
                <w:spacing w:val="52"/>
                <w:sz w:val="15"/>
                <w:u w:val="none"/>
              </w:rPr>
              <w:t>Client consent comes first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No client detail passes between the parties until the client has been told who they are being introduced to, that a fee is payable, and how much. Consent is recorded in writing and is retained by the referring party.</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Commercial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Proposed commercial terms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commercial terms"/>
        <w:tblDescription w:val="Columns: Item, Basis, Amount, Trigger, Payable"/>
      </w:tblPr>
      <w:tblGrid>
        <w:gridCol w:w="2154"/>
        <w:gridCol w:w="2494"/>
        <w:gridCol w:w="1361"/>
        <w:gridCol w:w="2154"/>
        <w:gridCol w:w="192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36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Trigger</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{{term.payable}}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{{term.item}}</w:t>
            </w:r>
          </w:p>
        </w:tc>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{{term.basis}}</w:t>
            </w:r>
          </w:p>
        </w:tc>
        <w:tc>
          <w:tcPr>
            <w:tcW w:type="dxa" w:w="136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color w:val="8493A8"/>
                <w:sz w:val="17"/>
                <w:u w:val="none"/>
              </w:rPr>
              <w:t>{{term.amount}}</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{{term.trigger}}</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{{term.payable}}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are exclusive of GST. Fees are disclosed to the client before the introduction is made and are payable only where the client proceeds. No fee is payable on a referral that does not convert.</w:t>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Illustrative value, first full year — referrals are per annum</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llustrative value, first full year — referrals are per annum"/>
        <w:tblDescription w:val="Columns: Scenario, Referrals, Conversion, Avg fee, To you"/>
      </w:tblPr>
      <w:tblGrid>
        <w:gridCol w:w="2154"/>
        <w:gridCol w:w="1814"/>
        <w:gridCol w:w="1701"/>
        <w:gridCol w:w="1814"/>
        <w:gridCol w:w="2608"/>
      </w:tblGrid>
      <w:tr>
        <w:trPr>
          <w:cantSplit/>
          <w:trHeight w:val="420" w:hRule="atLeast"/>
          <w:tblHeader/>
        </w:trPr>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Scenario</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Referrals</w:t>
            </w:r>
          </w:p>
        </w:tc>
        <w:tc>
          <w:tcPr>
            <w:tcW w:type="dxa" w:w="17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Conversion</w:t>
            </w:r>
          </w:p>
        </w:tc>
        <w:tc>
          <w:tcPr>
            <w:tcW w:type="dxa" w:w="181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fee</w:t>
            </w:r>
          </w:p>
        </w:tc>
        <w:tc>
          <w:tcPr>
            <w:tcW w:type="dxa" w:w="260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 you</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{{scenario}}</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{{value}}</w:t>
            </w:r>
          </w:p>
        </w:tc>
      </w:tr>
      <w:tr>
        <w:trPr>
          <w:cantSplit/>
          <w:trHeight w:val="397" w:hRule="atLeast"/>
        </w:trPr>
        <w:tc>
          <w:tcPr>
            <w:tcW w:type="dxa" w:w="215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color w:val="8493A8"/>
                <w:sz w:val="17"/>
                <w:u w:val="none"/>
              </w:rPr>
              <w:t>{{scenario}}</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7F9FC"/>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color w:val="8493A8"/>
                <w:sz w:val="17"/>
                <w:u w:val="none"/>
              </w:rPr>
              <w:t>{{value}}</w:t>
            </w:r>
          </w:p>
        </w:tc>
      </w:tr>
      <w:tr>
        <w:trPr>
          <w:cantSplit/>
          <w:trHeight w:val="397" w:hRule="atLeast"/>
        </w:trPr>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pPr>
            <w:r>
              <w:rPr>
                <w:rFonts w:ascii="Calibri" w:hAnsi="Calibri" w:cs="Calibri" w:eastAsia="Calibri"/>
                <w:b w:val="0"/>
                <w:i/>
                <w:color w:val="8493A8"/>
                <w:sz w:val="17"/>
                <w:u w:val="none"/>
              </w:rPr>
              <w:t>{{scenario}}</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color w:val="8493A8"/>
                <w:sz w:val="17"/>
                <w:u w:val="none"/>
              </w:rPr>
              <w:t>{{referrals}}</w:t>
            </w:r>
          </w:p>
        </w:tc>
        <w:tc>
          <w:tcPr>
            <w:tcW w:type="dxa" w:w="17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color w:val="8493A8"/>
                <w:sz w:val="17"/>
                <w:u w:val="none"/>
              </w:rPr>
              <w:t>{{conversion}}</w:t>
            </w:r>
          </w:p>
        </w:tc>
        <w:tc>
          <w:tcPr>
            <w:tcW w:type="dxa" w:w="181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color w:val="8493A8"/>
                <w:sz w:val="17"/>
                <w:u w:val="none"/>
              </w:rPr>
              <w:t>{{fee}}</w:t>
            </w:r>
          </w:p>
        </w:tc>
        <w:tc>
          <w:tcPr>
            <w:tcW w:type="dxa" w:w="260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keepLines/>
              <w:pageBreakBefore w:val="0"/>
              <w:widowControl w:val="1"/>
              <w:spacing w:before="0" w:after="0" w:line="293" w:lineRule="auto"/>
              <w:jc w:val="right"/>
            </w:pPr>
            <w:r>
              <w:rPr>
                <w:rFonts w:ascii="Georgia" w:hAnsi="Georgia" w:cs="Georgia" w:eastAsia="Georgia"/>
                <w:b w:val="0"/>
                <w:i/>
                <w:color w:val="8493A8"/>
                <w:sz w:val="17"/>
                <w:u w:val="none"/>
              </w:rPr>
              <w:t>{{value}}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Illustrative only. Based on our own referral volumes and conversion rates over the last twelve months; your results will differ.</w:t>
      </w:r>
    </w:p>
    <w:p>
      <w:pPr>
        <w:keepNext/>
        <w:keepLines/>
        <w:pageBreakBefore w:val="0"/>
        <w:widowControl w:val="1"/>
        <w:spacing w:before="0" w:after="60"/>
      </w:pPr>
      <w:r>
        <w:rPr>
          <w:rFonts w:ascii="Georgia" w:hAnsi="Georgia" w:cs="Georgia" w:eastAsia="Georgia"/>
          <w:b w:val="0"/>
          <w:i w:val="0"/>
          <w:color w:val="071527"/>
          <w:spacing w:val="12"/>
          <w:sz w:val="34"/>
          <w:u w:val="none"/>
        </w:rPr>
        <w:t>Governance &amp; boundaries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How the relationship is governed</w:t>
            </w:r>
          </w:p>
          <w:p>
            <w:pPr>
              <w:keepNext w:val="0"/>
              <w:keepLines/>
              <w:pageBreakBefore w:val="0"/>
              <w:widowControl w:val="1"/>
              <w:spacing w:before="0" w:after="0" w:line="355" w:lineRule="auto"/>
            </w:pPr>
            <w:r>
              <w:rPr>
                <w:rFonts w:ascii="Calibri" w:hAnsi="Calibri" w:cs="Calibri" w:eastAsia="Calibri"/>
                <w:b w:val="0"/>
                <w:i w:val="0"/>
                <w:color w:val="10192A"/>
                <w:sz w:val="17"/>
                <w:u w:val="none"/>
              </w:rPr>
              <w:t>{{proposal.governance}}</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{{proposal.governanceItems[0]}}</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{{proposal.governanceItems[1]}}</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{{proposal.governanceItems[2]}}</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{{proposal.governanceItems[3]}}</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{{proposal.governanceItems[4]}}</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{{proposal.governanceItems[5]}}</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us</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owner — you</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{{partner.contact.name}}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cadence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{{proposal.reviewCadence}}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Notice period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{{proposal.noticePeriod}}</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Measures reviewed</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{{proposal.measures}}</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Agreement form</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{{proposal.agreementForm}}</w:t>
            </w:r>
          </w:p>
        </w:tc>
      </w:tr>
    </w:tbl>
    <w:p>
      <w:pPr>
        <w:keepNext/>
        <w:keepLines/>
        <w:pageBreakBefore w:val="0"/>
        <w:widowControl w:val="1"/>
        <w:spacing w:before="0" w:after="60"/>
      </w:pPr>
      <w:r>
        <w:rPr>
          <w:rFonts w:ascii="Georgia" w:hAnsi="Georgia" w:cs="Georgia" w:eastAsia="Georgia"/>
          <w:b w:val="0"/>
          <w:i w:val="0"/>
          <w:color w:val="071527"/>
          <w:spacing w:val="12"/>
          <w:sz w:val="34"/>
          <w:u w:val="none"/>
        </w:rPr>
        <w:t>Activation plan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From agreement to first referral</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{{activation.when}}</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{{activation.what}}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{{activation.detail}}</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Next steps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{{nextSteps[0]}}</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{{nextSteps[1]}}</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{{nextSteps[2]}}</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{{nextSteps[3]}}</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{{nextSteps[4]}}</w:t>
            </w:r>
          </w:p>
        </w:tc>
        <w:tc>
          <w:tcPr>
            <w:tcW w:type="dxa" w:w="177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Response requested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{{proposal.responseBy}}</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Contact</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Direct line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{{author.phone}}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Email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{{author.email}}</w:t>
            </w:r>
          </w:p>
        </w:tc>
      </w:tr>
    </w:tbl>
    <w:p>
      <w:pPr>
        <w:keepNext/>
        <w:keepLines/>
        <w:pageBreakBefore w:val="1"/>
        <w:widowControl w:val="1"/>
        <w:spacing w:before="0" w:after="60"/>
      </w:pPr>
      <w:r>
        <w:rPr>
          <w:rFonts w:ascii="Georgia" w:hAnsi="Georgia" w:cs="Georgia" w:eastAsia="Georgia"/>
          <w:b w:val="0"/>
          <w:i w:val="0"/>
          <w:color w:val="071527"/>
          <w:spacing w:val="12"/>
          <w:sz w:val="34"/>
          <w:u w:val="none"/>
        </w:rPr>
        <w:t>Terms</w:t>
      </w:r>
    </w:p>
    <w:p>
      <w:pPr>
        <w:keepNext/>
        <w:keepLines/>
        <w:pageBreakBefore w:val="0"/>
        <w:widowControl w:val="1"/>
        <w:spacing w:before="0" w:after="100"/>
      </w:pPr>
      <w:r>
        <w:rPr>
          <w:rFonts w:ascii="Calibri" w:hAnsi="Calibri" w:cs="Calibri" w:eastAsia="Calibri"/>
          <w:b/>
          <w:i w:val="0"/>
          <w:caps w:val="1"/>
          <w:color w:val="4C5B73"/>
          <w:spacing w:val="52"/>
          <w:sz w:val="15"/>
          <w:u w:val="none"/>
        </w:rPr>
        <w:t>Status of this proposal, validity and confidentiality</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Status of this proposal</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is a proposal for discussion. It is not an offer capable of acceptance and does not create any binding obligation on either party. Any arrangement between the parties takes effect only under a written referral agreement executed by both.</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The terms set out in this proposal are open for 30 days from the date shown on the cover. Illustrative figures are based on the proposing party's own historical volumes and conversion rates and are not a forecast, a projection or a guarantee of any result.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Confidentiality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including the commercial terms, is provided in confidence for the named recipient's evaluation. It may be shared within the recipient's organisation for that purpose and may not be disclosed further without written consent.</w:t>
      </w:r>
    </w:p>
    <w:p>
      <w:pPr>
        <w:keepNext w:val="0"/>
        <w:keepLines/>
        <w:pageBreakBefore w:val="0"/>
        <w:widowControl w:val="1"/>
        <w:spacing w:before="0" w:after="0" w:line="100" w:lineRule="exact"/>
      </w:pPr>
      <w:r>
        <w:rPr>
          <w:sz w:val="2"/>
        </w:rPr>
      </w:r>
    </w:p>
    <w:p>
      <w:pPr>
        <w:keepNext w:val="0"/>
        <w:keepLines/>
        <w:pageBreakBefore w:val="1"/>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{{org.website}}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{{org.email}}</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{{org.phone}}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{{org.address}}</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{{org.socials}}</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Aurixa Systems Pty Ltd   ·   ABN {{org.abn}}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Partnership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Proposal</dc:title>
  <dc:subject>A proposal to another business: the opportunity, the proposed structure, the commercial terms, and the activation plan.</dc:subject>
  <dc:creator>Aurixa Systems</dc:creator>
  <cp:keywords>Partnership, Channel proposal, Referral partnership,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